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Budapest Főváros Önkormányzata Közgyűlésének .../.... (...)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szórakoztató célra szánt pirotechnikai eszközök fővárosi felhasználásáról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[1] Budapest Főváros Önkormányzata Közgyűlése, felismerve a jövő nemzedék érdekeit, a környezet védelmére irányuló intézményvédelmi kötelezettségét, valamint az egészséges környezethez és pihenéshez való jogból következő felelősségét, szabályozza a szórakoztató célra szánt pirotechnikai eszközök fővárosi felhasználását.</w:t>
      </w:r>
    </w:p>
    <w:p>
      <w:pPr>
        <w:pStyle w:val="TextBody"/>
        <w:bidi w:val="0"/>
        <w:spacing w:lineRule="auto" w:line="240" w:before="1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[2] Budapest Főváros Önkormányzata Közgyűlése az Alaptörvény 32. cikk (2) bekezdésében meghatározott eredeti jogalkotói hatáskörében, a Magyarország helyi önkormányzatairól szóló 2011. évi CLXXXIX. törvény 23. § (4) bekezdés 12. pontjában, valamint a környezet védelmének általános szabályairól szóló 1995. évi LIII. törvény 46. § (1) bekezdés c) pontjában meghatározott feladatkörében eljárva a következőket rendeli el: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állapítja meg Budapest főváros közigazgatási területén a polgári célú pirotechnikai tevékenységekről szóló 173/2011. (VIII. 24.) Korm. rendelet 3. § (3) bekezdése szerinti szórakoztató célra szánt pirotechnikai termék (a továbbiakban: tűzijátéktermék) felhasználására vonatkozó szabályokat.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Budapest főváros közigazgatási területe tűzijáték termék felhasználása szempontjából védett és fokozottan védett övezetre tagozódik.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Védett övezet az állami ingatlan-nyilvántartási térképi adatbázisban lakóépületként bejegyzett épület, valamint az épület falaitól számított ötven méteres távolságban húzódó határvonalon belül fekvő vagy a határvonal által érintett ingatlan teljes területe, azzal, hogy a védett övezet nem terjed ki az ingatlannak a lakóépülettől számított kétszáz méteres távolságban húzódó határvonalon kívüli részére.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(3) Fokozottan védett övezet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a természet védelméről szóló 1996. évi LIII. törvény 23. § (2) bekezdése szerinti védett terület, továbbá a 24. § (1) bekezdése alapján védetté nyilvánított terület,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az európai közösségi jelentőségű természetvédelmi rendeltetésű területekről szóló 275/2004. (X. 8.) Korm. rendelet hatálya alá tartozó Natura 2000-es terület,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az erdőről, az erdő védelméről és az erdőgazdálkodásról szóló 2009. évi XXXVII. törvény hatálya alá tartozó erdő,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d)</w:t>
      </w:r>
      <w:r>
        <w:rPr>
          <w:sz w:val="24"/>
          <w:szCs w:val="24"/>
        </w:rPr>
        <w:tab/>
        <w:t>a településrendezési és építési követelmények alapszabályzatáról szóló 280/2024. (IX. 30.) Korm. rendelet szerinti közpark, arborétum, temető és természetközeli terület,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e)</w:t>
      </w:r>
      <w:r>
        <w:rPr>
          <w:sz w:val="24"/>
          <w:szCs w:val="24"/>
        </w:rPr>
        <w:tab/>
        <w:t>a magyar építészetről szóló 2023. évi C. törvény szerinti fejlesztési tervlap szerint védelemre javasolt helyi természetvédelmi területként nyilvántartott terület,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f)</w:t>
      </w:r>
      <w:r>
        <w:rPr>
          <w:sz w:val="24"/>
          <w:szCs w:val="24"/>
        </w:rPr>
        <w:tab/>
        <w:t>az állatok védelméről és kíméletéről szóló 1998. évi XXVIII. törvény szerinti állatkert, állatpanzió és állatmenhely és annak elhelyezésére szolgáló ingatlan,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g)</w:t>
      </w:r>
      <w:r>
        <w:rPr>
          <w:sz w:val="24"/>
          <w:szCs w:val="24"/>
        </w:rPr>
        <w:tab/>
        <w:t>az Állat-egészségügyi Szabályzat kiadásáról szóló 41/1997. (V. 28.) FM rendelet hatálya alá tartozó állattartó telep és annak elhelyezésére szolgáló ingatlan,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h)</w:t>
      </w:r>
      <w:r>
        <w:rPr>
          <w:sz w:val="24"/>
          <w:szCs w:val="24"/>
        </w:rPr>
        <w:tab/>
        <w:t>a szociális igazgatásról és szociális ellátásokról szóló 1993. évi III. törvény hatálya alá tartozó bentlakásos intézmény és annak elhelyezésére szolgáló ingatlan, továbbá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i)</w:t>
      </w:r>
      <w:r>
        <w:rPr>
          <w:sz w:val="24"/>
          <w:szCs w:val="24"/>
        </w:rPr>
        <w:tab/>
        <w:t>az egészségügyről szóló 1997. évi CLIV. törvény hatálya alá tartozó fekvőbeteg-ellátást nyújtó intézmény és annak elhelyezésére szolgáló ingatlan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annak határvonalától számított száz méteres távolságban húzódó határvonalon belül fekvő vagy a határvonal által érintett ingatlan teljes területe, azzal, hogy a védett övezet nem terjed ki az ingatlannak a védendő területtől számított kétszáz méterén túli részére.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Tilos 2. és 3. pirotechnikai osztályba tartozó tűzijátékterméket felhasználni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a)</w:t>
      </w:r>
      <w:r>
        <w:rPr>
          <w:sz w:val="24"/>
          <w:szCs w:val="24"/>
        </w:rPr>
        <w:tab/>
        <w:t>Budapest egész területén december 31. napján 20:00 óra előtt, valamint január 1. napján 02:00 óra után,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b)</w:t>
      </w:r>
      <w:r>
        <w:rPr>
          <w:sz w:val="24"/>
          <w:szCs w:val="24"/>
        </w:rPr>
        <w:tab/>
        <w:t>védett övezetben december 31. napján és január 1. napján és</w:t>
      </w:r>
    </w:p>
    <w:p>
      <w:pPr>
        <w:pStyle w:val="TextBody"/>
        <w:bidi w:val="0"/>
        <w:spacing w:lineRule="auto" w:line="240" w:before="0" w:after="0"/>
        <w:ind w:left="580" w:hanging="560"/>
        <w:jc w:val="both"/>
        <w:rPr>
          <w:rFonts w:ascii="Times New Roman" w:hAnsi="Times New Roman"/>
          <w:sz w:val="24"/>
          <w:szCs w:val="24"/>
        </w:rPr>
      </w:pPr>
      <w:r>
        <w:rPr>
          <w:i/>
          <w:iCs/>
          <w:sz w:val="24"/>
          <w:szCs w:val="24"/>
        </w:rPr>
        <w:t>c)</w:t>
      </w:r>
      <w:r>
        <w:rPr>
          <w:sz w:val="24"/>
          <w:szCs w:val="24"/>
        </w:rPr>
        <w:tab/>
        <w:t>fokozottan védett övezetben.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2025. december 15-én lép hatályba.</w:t>
      </w:r>
    </w:p>
    <w:p>
      <w:pPr>
        <w:pStyle w:val="TextBody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bidi w:val="0"/>
        <w:spacing w:lineRule="auto" w:line="240" w:before="0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Általános indokolás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tűzijátékok magáncélú, közterületi felhasználása az utóbbi években mind nemzetközi, mind hazai viszonylatban fokozódó kritikák tárgyává vált. Egyre erőteljesebb társadalmi igény mutatkozik a pirotechnikai eszközök használatának korlátozására, különösen a sűrűn lakott városi területeken és a természeti szempontból érzékeny környezetben. Budapest lakossága, civil szervezetei és egyes kerületei részéről is megfogalmazódott az igény a szilveszteri időszakban tapasztalható kontrollálatlan tűzijáték-használat visszaszorítására és a békés ünneplés feltételeinek megteremtésére. A Fővárosi Önkormányzat 2025. április-májusban kérdőíves felmérést végzett a budapesti lakosság körében annak érdekében, hogy felmérje a pirotechnikai eszközök szilveszteri használatával kapcsolatos lakossági attitűdöt. A kérdőívet 9782 személy töltötte ki. A kitöltők 78%-a nagyon indokoltnak, míg további 8,8%-a inkább indokoltnak találta a pirotechnikai eszközök alkalmazásának szigorúbb szabályozását. A kitöltők 58,5%-át „nagyon”, 20%-át „inkább zavarja”. A kérdésre a válaszadók 13%-a felelte azt, hogy „egyáltalán nem zavarja”. 6549 személy (kitöltők 67%-a) érzékelt a pirotechnikai eszközök használatához köthető stresszt, szorongást szilveszter éjjelén (ők maguk vagy a családjukban, a közvetlen környezetükben élők közül valaki). A legtöbben, 4264-en jelezték, hogy kisgyereket érintettek rosszul a szilveszteri hatások, de maguk a kitöltők, a környezetükben élő idős emberek, állattartók, mentális vagy pszichés betegséggel élők is átéltek már emiatt szorongást.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 rendelet megalkotásának célja ennek a jogos igénynek a kielégítése, a főváros közösségi érdekének védelmében. A rendelet szabályozásának elsődleges oka, hogy a szilveszteri időszakban történő tűzijátékozás térben és időben is kiterjed, több órán keresztül a város számos pontján egyszerre jelentkezik, amely valójában egy, kizárólag a szilveszteri időszakra jellemző terhelést jelent Budapest egész területére. Összehasonlítva a szintén tűzijátékkal járó, de helyileg kötöttebb alkalmi, időben is rövidebb rendezvényekkel (pl.: augusztus 20-i tűzijáték), a várost és a lakosságot érő terhelés a szilveszteri időszakban sokkal intenzívebb.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indokoltságát számos közrendvédelmi, közegészségügyi és környezetvédelmi szempont támasztja alá. A tűzijátékok használata jelentős veszélyforrás: a nem szakszerű használat személyi sérüléseket, tüzet vagy anyagi károkat okozhat. Emellett a sorozatos robbanások által keltett hang- és fényhatások, valamint a keletkező füst és por súlyos zavaró tényezők. Egy németországi statisztika szerint a szilveszteri tűzijáték néhány óra alatt a teljes éves közúti forgalom által okozott porkibocsátás ötödét juttatja a levegőbe, ami rendkívüli mértékben terheli a város levegőminőségét. A fel nem robbant vagy elhasznált eszközök továbbá hatalmas mennyiségű hulladékot hagynak maguk után – csak Budapesten alkalmanként több száz köbméternyit. Mindezen terhelések, ahogyan arra az Alapvető Jogok Biztosa is felhívja figyelmet egy jelentésében, aránytalanul nagy és szükségtelen károkat okoznak a városi környezetben és az itt élők egészségében az alkalmi szórakoztató értékükhöz képest, ellentétesek a fenntarthatóság követelményeivel. Szintén felhívja a figyelmet arra, hogy a zaj- és fényszennyezés akadályozza a pihenéshez és rekreációhoz való jog érvényesülését, és végső soron sértheti a testi és lelki egészséghez való alkotmányos jogot, valamint a jövő nemzedékek egészséges környezethez való jogát is.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Budapest Főváros Önkormányzata – összhangban az Alaptörvény P) cikkében foglalt kötelezettségével és a XXI. cikkben deklarált egészséges környezethez való jog biztosításával – köteles fellépni a természeti és épített környezet, valamint a lakosság nyugalmának védelme érdekében. Jelen rendelet a helyi lakosság életminőségét közvetlenül érintő környezetvédelmi kérdésben nyújt Budapest közigazgatási területére vonatkozó egységes szabályozást.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szabályok megsértése tekintetében a szabálysértésekről, a szabálysértési eljárásról és a szabálysértési nyilvántartási rendszerről szóló 2012. évi II. törvény (továbbiakban: Szabstv.) 182. §-a szabályozza a polgári felhasználású robbanóanyaggal és pirotechnikai termékkel kapcsolatos szabálysértést keretdiszpozícióként, amely a nem a Szabstv. rendelkezései között szabályozott felhasználási feltételek szankcionálását is biztosítja. Ezen rendelkezés alapján azzal, hogy a Fővárosi Közgyűlés a jelen rendelet megalkotásával szabályozza a tűzijátékok budapesti felhasználását a Szabstv. 182. § (2) bekezdése szerinti felhasználási szabályokat állapít meg, amelyek megszegésének esetére Szabstv. szerinti szabálysértési eljárás (és helyszíni bírság) kiszabására van lehetőség.</w:t>
      </w:r>
    </w:p>
    <w:p>
      <w:pPr>
        <w:pStyle w:val="TextBody"/>
        <w:bidi w:val="0"/>
        <w:spacing w:lineRule="auto" w:line="240" w:before="476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1. §-hoz 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tárgyi hatályát meghatározó rendelkezésként rögzíti, hogy a rendelet a polgári célú pirotechnikai tevékenységekről szóló 173/2011. (VIII. 24.) Korm. rendelet 3. § (3) bekezdés szerinti tűzijátéktermékek felhasználására terjed ki.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2. §-hoz 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 rendelkezés a tűzijátéktermékek felhasználásával kapcsolatos övezeti besorolásokat tartalmazza, amely így védett és fokozottan védett övezetre tagolódik. Védett övezetbe a lakóövezetek tartoznak, míg fokozottan védett övezetbe tartoznak egyrészt a környezetvédelmi szempontból védendő területek, másrészt azok a területek, amelyek igénybe vevői egyéni élethelyzetüknél (betegségüknél, koruknál, állapotuknál) fogva az egészséges környezethez való jog, illetve a pihenéshez való jog érvényesülése kapcsán fokozott védelemre szorulnak.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3. §-hoz 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övezeti besoroláshoz tartozó korlátozásokat tartalmazza. Budapest egész területén a szilveszteri időszakban a tűzijátéktermékek használatát hat órára korlátozza, védett övezetben tiltja, míg fokozottan védett övezetben egész évben tiltja azok felhasználását.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4. §-hoz </w:t>
      </w:r>
    </w:p>
    <w:p>
      <w:pPr>
        <w:pStyle w:val="TextBody"/>
        <w:bidi w:val="0"/>
        <w:spacing w:lineRule="auto" w:line="240" w:before="0" w:after="1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Hatálybaléptető rendelkezés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er" Target="footer2.xml"/><Relationship Id="rId7" Type="http://schemas.openxmlformats.org/officeDocument/2006/relationships/customXml" Target="../customXml/item1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8DCC1337C4BA8499C7EB6BE41F6F325" ma:contentTypeVersion="13" ma:contentTypeDescription="Új dokumentum létrehozása." ma:contentTypeScope="" ma:versionID="d6b95fa277e62f5ec14550af4180fb96">
  <xsd:schema xmlns:xsd="http://www.w3.org/2001/XMLSchema" xmlns:xs="http://www.w3.org/2001/XMLSchema" xmlns:p="http://schemas.microsoft.com/office/2006/metadata/properties" xmlns:ns2="baadd0cd-2baf-4098-b67c-83b074b41c07" xmlns:ns3="bd00bf75-1601-4425-b2a8-b375ef4a4b2a" targetNamespace="http://schemas.microsoft.com/office/2006/metadata/properties" ma:root="true" ma:fieldsID="325fd289d0ec1356ffdbe8bf7be41c4b" ns2:_="" ns3:_="">
    <xsd:import namespace="baadd0cd-2baf-4098-b67c-83b074b41c07"/>
    <xsd:import namespace="bd00bf75-1601-4425-b2a8-b375ef4a4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dd0cd-2baf-4098-b67c-83b074b41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0d1fff6-9007-4d0e-920a-afd711802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0bf75-1601-4425-b2a8-b375ef4a4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7bff2a-c062-4d72-8cd0-69ccdc32ce23}" ma:internalName="TaxCatchAll" ma:showField="CatchAllData" ma:web="bd00bf75-1601-4425-b2a8-b375ef4a4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dd0cd-2baf-4098-b67c-83b074b41c07">
      <Terms xmlns="http://schemas.microsoft.com/office/infopath/2007/PartnerControls"/>
    </lcf76f155ced4ddcb4097134ff3c332f>
    <TaxCatchAll xmlns="bd00bf75-1601-4425-b2a8-b375ef4a4b2a" xsi:nil="true"/>
  </documentManagement>
</p:properties>
</file>

<file path=customXml/itemProps1.xml><?xml version="1.0" encoding="utf-8"?>
<ds:datastoreItem xmlns:ds="http://schemas.openxmlformats.org/officeDocument/2006/customXml" ds:itemID="{F41DD02C-A6D0-437E-ADED-2F1C91A33080}"/>
</file>

<file path=customXml/itemProps2.xml><?xml version="1.0" encoding="utf-8"?>
<ds:datastoreItem xmlns:ds="http://schemas.openxmlformats.org/officeDocument/2006/customXml" ds:itemID="{B9716201-3E03-4398-B7E2-14946597E671}"/>
</file>

<file path=customXml/itemProps3.xml><?xml version="1.0" encoding="utf-8"?>
<ds:datastoreItem xmlns:ds="http://schemas.openxmlformats.org/officeDocument/2006/customXml" ds:itemID="{912DEE39-29AD-4D79-987A-749C21D382DC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3</cp:revision>
  <dcterms:created xsi:type="dcterms:W3CDTF">2017-08-15T13:24:49Z</dcterms:created>
  <dcterms:modified xsi:type="dcterms:W3CDTF">2018-01-30T11:27:53Z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  <property fmtid="{D5CDD505-2E9C-101B-9397-08002B2CF9AE}" pid="3" name="ContentTypeId">
    <vt:lpwstr>0x01010048DCC1337C4BA8499C7EB6BE41F6F325</vt:lpwstr>
  </property>
</Properties>
</file>