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2360846"/>
        <w:docPartObj>
          <w:docPartGallery w:val="Cover Pages"/>
          <w:docPartUnique/>
        </w:docPartObj>
      </w:sdtPr>
      <w:sdtContent>
        <w:p w14:paraId="3B24B8BD" w14:textId="10B98C5C" w:rsidR="009062EF" w:rsidRDefault="009062EF"/>
        <w:p w14:paraId="59761352" w14:textId="17FC86D2" w:rsidR="009062EF" w:rsidRDefault="009062EF">
          <w:pPr>
            <w:rPr>
              <w:rFonts w:asciiTheme="majorHAnsi" w:eastAsiaTheme="majorEastAsia" w:hAnsiTheme="majorHAnsi" w:cstheme="majorBidi"/>
              <w:color w:val="0F4761" w:themeColor="accent1" w:themeShade="BF"/>
              <w:sz w:val="40"/>
              <w:szCs w:val="40"/>
            </w:rPr>
          </w:pPr>
          <w:r>
            <w:rPr>
              <w:noProof/>
            </w:rPr>
            <mc:AlternateContent>
              <mc:Choice Requires="wps">
                <w:drawing>
                  <wp:anchor distT="0" distB="0" distL="182880" distR="182880" simplePos="0" relativeHeight="251660288" behindDoc="0" locked="0" layoutInCell="1" allowOverlap="1" wp14:anchorId="69F02CAB" wp14:editId="3DEE9308">
                    <wp:simplePos x="0" y="0"/>
                    <mc:AlternateContent>
                      <mc:Choice Requires="wp14">
                        <wp:positionH relativeFrom="margin">
                          <wp14:pctPosHOffset>7700</wp14:pctPosHOffset>
                        </wp:positionH>
                      </mc:Choice>
                      <mc:Fallback>
                        <wp:positionH relativeFrom="page">
                          <wp:posOffset>1343025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Szövegdoboz 19"/>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377408" w14:textId="0653574B" w:rsidR="009062EF" w:rsidRDefault="00000000">
                                <w:pPr>
                                  <w:pStyle w:val="Nincstrkz"/>
                                  <w:spacing w:before="40" w:after="560" w:line="216" w:lineRule="auto"/>
                                  <w:rPr>
                                    <w:color w:val="156082" w:themeColor="accent1"/>
                                    <w:sz w:val="72"/>
                                    <w:szCs w:val="72"/>
                                  </w:rPr>
                                </w:pPr>
                                <w:sdt>
                                  <w:sdtPr>
                                    <w:rPr>
                                      <w:rFonts w:asciiTheme="majorHAnsi" w:eastAsiaTheme="majorEastAsia" w:hAnsiTheme="majorHAnsi" w:cstheme="majorBidi"/>
                                      <w:color w:val="0F4761" w:themeColor="accent1" w:themeShade="BF"/>
                                      <w:sz w:val="40"/>
                                      <w:szCs w:val="40"/>
                                    </w:rPr>
                                    <w:alias w:val="Cím"/>
                                    <w:tag w:val=""/>
                                    <w:id w:val="151731938"/>
                                    <w:dataBinding w:prefixMappings="xmlns:ns0='http://purl.org/dc/elements/1.1/' xmlns:ns1='http://schemas.openxmlformats.org/package/2006/metadata/core-properties' " w:xpath="/ns1:coreProperties[1]/ns0:title[1]" w:storeItemID="{6C3C8BC8-F283-45AE-878A-BAB7291924A1}"/>
                                    <w:text/>
                                  </w:sdtPr>
                                  <w:sdtContent>
                                    <w:r w:rsidR="009062EF" w:rsidRPr="009062EF">
                                      <w:rPr>
                                        <w:rFonts w:asciiTheme="majorHAnsi" w:eastAsiaTheme="majorEastAsia" w:hAnsiTheme="majorHAnsi" w:cstheme="majorBidi"/>
                                        <w:color w:val="0F4761" w:themeColor="accent1" w:themeShade="BF"/>
                                        <w:sz w:val="40"/>
                                        <w:szCs w:val="40"/>
                                      </w:rPr>
                                      <w:t>A FŐVÁROSI ÖNKORMÁNYZAT KIADÁSAINAK ALAKULÁSA 2019 ÉS 2025 KÖZÖTT</w:t>
                                    </w:r>
                                  </w:sdtContent>
                                </w:sdt>
                              </w:p>
                              <w:p w14:paraId="7B6B2C2C" w14:textId="3E22C060" w:rsidR="009062EF" w:rsidRDefault="009062EF">
                                <w:pPr>
                                  <w:pStyle w:val="Nincstrkz"/>
                                  <w:spacing w:before="40" w:after="40"/>
                                  <w:rPr>
                                    <w:caps/>
                                    <w:color w:val="501549" w:themeColor="accent5" w:themeShade="80"/>
                                    <w:sz w:val="28"/>
                                    <w:szCs w:val="28"/>
                                  </w:rPr>
                                </w:pPr>
                              </w:p>
                              <w:sdt>
                                <w:sdtPr>
                                  <w:rPr>
                                    <w:caps/>
                                    <w:color w:val="A02B93" w:themeColor="accent5"/>
                                    <w:sz w:val="24"/>
                                    <w:szCs w:val="24"/>
                                  </w:rPr>
                                  <w:alias w:val="Szerző"/>
                                  <w:tag w:val=""/>
                                  <w:id w:val="-1536112409"/>
                                  <w:dataBinding w:prefixMappings="xmlns:ns0='http://purl.org/dc/elements/1.1/' xmlns:ns1='http://schemas.openxmlformats.org/package/2006/metadata/core-properties' " w:xpath="/ns1:coreProperties[1]/ns0:creator[1]" w:storeItemID="{6C3C8BC8-F283-45AE-878A-BAB7291924A1}"/>
                                  <w:text/>
                                </w:sdtPr>
                                <w:sdtContent>
                                  <w:p w14:paraId="598A88F2" w14:textId="302881FE" w:rsidR="009062EF" w:rsidRDefault="009062EF">
                                    <w:pPr>
                                      <w:pStyle w:val="Nincstrkz"/>
                                      <w:spacing w:before="80" w:after="40"/>
                                      <w:rPr>
                                        <w:caps/>
                                        <w:color w:val="A02B93" w:themeColor="accent5"/>
                                        <w:sz w:val="24"/>
                                        <w:szCs w:val="24"/>
                                      </w:rPr>
                                    </w:pPr>
                                    <w:r>
                                      <w:rPr>
                                        <w:caps/>
                                        <w:color w:val="A02B93" w:themeColor="accent5"/>
                                        <w:sz w:val="24"/>
                                        <w:szCs w:val="24"/>
                                      </w:rPr>
                                      <w:t>Kiss Ambrus</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69F02CAB" id="_x0000_t202" coordsize="21600,21600" o:spt="202" path="m,l,21600r21600,l21600,xe">
                    <v:stroke joinstyle="miter"/>
                    <v:path gradientshapeok="t" o:connecttype="rect"/>
                  </v:shapetype>
                  <v:shape id="Szövegdoboz 19"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45377408" w14:textId="0653574B" w:rsidR="009062EF" w:rsidRDefault="00000000">
                          <w:pPr>
                            <w:pStyle w:val="Nincstrkz"/>
                            <w:spacing w:before="40" w:after="560" w:line="216" w:lineRule="auto"/>
                            <w:rPr>
                              <w:color w:val="156082" w:themeColor="accent1"/>
                              <w:sz w:val="72"/>
                              <w:szCs w:val="72"/>
                            </w:rPr>
                          </w:pPr>
                          <w:sdt>
                            <w:sdtPr>
                              <w:rPr>
                                <w:rFonts w:asciiTheme="majorHAnsi" w:eastAsiaTheme="majorEastAsia" w:hAnsiTheme="majorHAnsi" w:cstheme="majorBidi"/>
                                <w:color w:val="0F4761" w:themeColor="accent1" w:themeShade="BF"/>
                                <w:sz w:val="40"/>
                                <w:szCs w:val="40"/>
                              </w:rPr>
                              <w:alias w:val="Cím"/>
                              <w:tag w:val=""/>
                              <w:id w:val="151731938"/>
                              <w:dataBinding w:prefixMappings="xmlns:ns0='http://purl.org/dc/elements/1.1/' xmlns:ns1='http://schemas.openxmlformats.org/package/2006/metadata/core-properties' " w:xpath="/ns1:coreProperties[1]/ns0:title[1]" w:storeItemID="{6C3C8BC8-F283-45AE-878A-BAB7291924A1}"/>
                              <w:text/>
                            </w:sdtPr>
                            <w:sdtContent>
                              <w:r w:rsidR="009062EF" w:rsidRPr="009062EF">
                                <w:rPr>
                                  <w:rFonts w:asciiTheme="majorHAnsi" w:eastAsiaTheme="majorEastAsia" w:hAnsiTheme="majorHAnsi" w:cstheme="majorBidi"/>
                                  <w:color w:val="0F4761" w:themeColor="accent1" w:themeShade="BF"/>
                                  <w:sz w:val="40"/>
                                  <w:szCs w:val="40"/>
                                </w:rPr>
                                <w:t>A FŐVÁROSI ÖNKORMÁNYZAT KIADÁSAINAK ALAKULÁSA 2019 ÉS 2025 KÖZÖTT</w:t>
                              </w:r>
                            </w:sdtContent>
                          </w:sdt>
                        </w:p>
                        <w:p w14:paraId="7B6B2C2C" w14:textId="3E22C060" w:rsidR="009062EF" w:rsidRDefault="009062EF">
                          <w:pPr>
                            <w:pStyle w:val="Nincstrkz"/>
                            <w:spacing w:before="40" w:after="40"/>
                            <w:rPr>
                              <w:caps/>
                              <w:color w:val="501549" w:themeColor="accent5" w:themeShade="80"/>
                              <w:sz w:val="28"/>
                              <w:szCs w:val="28"/>
                            </w:rPr>
                          </w:pPr>
                        </w:p>
                        <w:sdt>
                          <w:sdtPr>
                            <w:rPr>
                              <w:caps/>
                              <w:color w:val="A02B93" w:themeColor="accent5"/>
                              <w:sz w:val="24"/>
                              <w:szCs w:val="24"/>
                            </w:rPr>
                            <w:alias w:val="Szerző"/>
                            <w:tag w:val=""/>
                            <w:id w:val="-1536112409"/>
                            <w:dataBinding w:prefixMappings="xmlns:ns0='http://purl.org/dc/elements/1.1/' xmlns:ns1='http://schemas.openxmlformats.org/package/2006/metadata/core-properties' " w:xpath="/ns1:coreProperties[1]/ns0:creator[1]" w:storeItemID="{6C3C8BC8-F283-45AE-878A-BAB7291924A1}"/>
                            <w:text/>
                          </w:sdtPr>
                          <w:sdtContent>
                            <w:p w14:paraId="598A88F2" w14:textId="302881FE" w:rsidR="009062EF" w:rsidRDefault="009062EF">
                              <w:pPr>
                                <w:pStyle w:val="Nincstrkz"/>
                                <w:spacing w:before="80" w:after="40"/>
                                <w:rPr>
                                  <w:caps/>
                                  <w:color w:val="A02B93" w:themeColor="accent5"/>
                                  <w:sz w:val="24"/>
                                  <w:szCs w:val="24"/>
                                </w:rPr>
                              </w:pPr>
                              <w:r>
                                <w:rPr>
                                  <w:caps/>
                                  <w:color w:val="A02B93" w:themeColor="accent5"/>
                                  <w:sz w:val="24"/>
                                  <w:szCs w:val="24"/>
                                </w:rPr>
                                <w:t>Kiss Ambrus</w:t>
                              </w:r>
                            </w:p>
                          </w:sdtContent>
                        </w:sdt>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048B7DDD" wp14:editId="76684699">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Téglalap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Év"/>
                                  <w:tag w:val=""/>
                                  <w:id w:val="-785116381"/>
                                  <w:dataBinding w:prefixMappings="xmlns:ns0='http://schemas.microsoft.com/office/2006/coverPageProps' " w:xpath="/ns0:CoverPageProperties[1]/ns0:PublishDate[1]" w:storeItemID="{55AF091B-3C7A-41E3-B477-F2FDAA23CFDA}"/>
                                  <w:date w:fullDate="2026-01-01T00:00:00Z">
                                    <w:dateFormat w:val="yyyy"/>
                                    <w:lid w:val="hu-HU"/>
                                    <w:storeMappedDataAs w:val="dateTime"/>
                                    <w:calendar w:val="gregorian"/>
                                  </w:date>
                                </w:sdtPr>
                                <w:sdtContent>
                                  <w:p w14:paraId="559B2AD5" w14:textId="49703E0D" w:rsidR="009062EF" w:rsidRDefault="009062EF">
                                    <w:pPr>
                                      <w:pStyle w:val="Nincstrkz"/>
                                      <w:jc w:val="right"/>
                                      <w:rPr>
                                        <w:color w:val="FFFFFF" w:themeColor="background1"/>
                                        <w:sz w:val="24"/>
                                        <w:szCs w:val="24"/>
                                      </w:rPr>
                                    </w:pPr>
                                    <w:r>
                                      <w:rPr>
                                        <w:color w:val="FFFFFF" w:themeColor="background1"/>
                                        <w:sz w:val="24"/>
                                        <w:szCs w:val="24"/>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048B7DDD" id="Téglalap 20"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" fillcolor="#156082 [3204]" stroked="f" strokeweight="1pt">
                    <o:lock v:ext="edit" aspectratio="t"/>
                    <v:textbox inset="3.6pt,,3.6pt">
                      <w:txbxContent>
                        <w:sdt>
                          <w:sdtPr>
                            <w:rPr>
                              <w:color w:val="FFFFFF" w:themeColor="background1"/>
                              <w:sz w:val="24"/>
                              <w:szCs w:val="24"/>
                            </w:rPr>
                            <w:alias w:val="Év"/>
                            <w:tag w:val=""/>
                            <w:id w:val="-785116381"/>
                            <w:dataBinding w:prefixMappings="xmlns:ns0='http://schemas.microsoft.com/office/2006/coverPageProps' " w:xpath="/ns0:CoverPageProperties[1]/ns0:PublishDate[1]" w:storeItemID="{55AF091B-3C7A-41E3-B477-F2FDAA23CFDA}"/>
                            <w:date w:fullDate="2026-01-01T00:00:00Z">
                              <w:dateFormat w:val="yyyy"/>
                              <w:lid w:val="hu-HU"/>
                              <w:storeMappedDataAs w:val="dateTime"/>
                              <w:calendar w:val="gregorian"/>
                            </w:date>
                          </w:sdtPr>
                          <w:sdtContent>
                            <w:p w14:paraId="559B2AD5" w14:textId="49703E0D" w:rsidR="009062EF" w:rsidRDefault="009062EF">
                              <w:pPr>
                                <w:pStyle w:val="Nincstrkz"/>
                                <w:jc w:val="right"/>
                                <w:rPr>
                                  <w:color w:val="FFFFFF" w:themeColor="background1"/>
                                  <w:sz w:val="24"/>
                                  <w:szCs w:val="24"/>
                                </w:rPr>
                              </w:pPr>
                              <w:r>
                                <w:rPr>
                                  <w:color w:val="FFFFFF" w:themeColor="background1"/>
                                  <w:sz w:val="24"/>
                                  <w:szCs w:val="24"/>
                                </w:rPr>
                                <w:t>2026</w:t>
                              </w:r>
                            </w:p>
                          </w:sdtContent>
                        </w:sdt>
                      </w:txbxContent>
                    </v:textbox>
                    <w10:wrap anchorx="margin" anchory="page"/>
                  </v:rect>
                </w:pict>
              </mc:Fallback>
            </mc:AlternateContent>
          </w:r>
          <w:r>
            <w:br w:type="page"/>
          </w:r>
        </w:p>
      </w:sdtContent>
    </w:sdt>
    <w:p w14:paraId="02AC6A3D" w14:textId="77777777" w:rsidR="00D33143" w:rsidRDefault="00D33143" w:rsidP="00D33143">
      <w:pPr>
        <w:pStyle w:val="Cmsor2"/>
      </w:pPr>
      <w:r>
        <w:lastRenderedPageBreak/>
        <w:t>Vezetői összefoglaló</w:t>
      </w:r>
    </w:p>
    <w:p w14:paraId="2B7465A0" w14:textId="1C65A491" w:rsidR="00D33143" w:rsidRPr="00692EC1" w:rsidRDefault="00D33143" w:rsidP="00D07F0D">
      <w:pPr>
        <w:jc w:val="both"/>
        <w:rPr>
          <w:rFonts w:ascii="Segoe UI" w:hAnsi="Segoe UI" w:cs="Segoe UI"/>
          <w:b/>
          <w:bCs/>
        </w:rPr>
      </w:pPr>
      <w:r w:rsidRPr="00692EC1">
        <w:rPr>
          <w:rFonts w:ascii="Segoe UI" w:hAnsi="Segoe UI" w:cs="Segoe UI"/>
          <w:b/>
          <w:bCs/>
        </w:rPr>
        <w:t xml:space="preserve">A tanulmány a 2019. és 2025. évi </w:t>
      </w:r>
      <w:r w:rsidR="00872DBA">
        <w:rPr>
          <w:rFonts w:ascii="Segoe UI" w:hAnsi="Segoe UI" w:cs="Segoe UI"/>
          <w:b/>
          <w:bCs/>
        </w:rPr>
        <w:t>(</w:t>
      </w:r>
      <w:r w:rsidRPr="00872DBA">
        <w:rPr>
          <w:rFonts w:ascii="Segoe UI" w:hAnsi="Segoe UI" w:cs="Segoe UI"/>
        </w:rPr>
        <w:t>Magyar Államkincstár felé leadott I-XII. havi</w:t>
      </w:r>
      <w:r w:rsidR="00872DBA">
        <w:rPr>
          <w:rFonts w:ascii="Segoe UI" w:hAnsi="Segoe UI" w:cs="Segoe UI"/>
        </w:rPr>
        <w:t>)</w:t>
      </w:r>
      <w:r w:rsidRPr="00692EC1">
        <w:rPr>
          <w:rFonts w:ascii="Segoe UI" w:hAnsi="Segoe UI" w:cs="Segoe UI"/>
          <w:b/>
          <w:bCs/>
        </w:rPr>
        <w:t xml:space="preserve"> adatok alapján tekinti át a Fővárosi Önkormányzat kiadásainak 2019 és 2025 közötti változását. A vizsgált időszakban a teljes kiadási főösszeg nominálisan 260,8 milliárd forintról 453,6 milliárd forintra emelkedett. Ez 192,8 milliárd forintos, hozzávetőleg 74 százalékos növekedés.</w:t>
      </w:r>
    </w:p>
    <w:p w14:paraId="2B6B7F33" w14:textId="3B3E2EF3" w:rsidR="00D33143" w:rsidRPr="00692EC1" w:rsidRDefault="00D33143" w:rsidP="00D07F0D">
      <w:pPr>
        <w:jc w:val="both"/>
        <w:rPr>
          <w:rFonts w:ascii="Segoe UI" w:hAnsi="Segoe UI" w:cs="Segoe UI"/>
        </w:rPr>
      </w:pPr>
      <w:r w:rsidRPr="00692EC1">
        <w:rPr>
          <w:rFonts w:ascii="Segoe UI" w:hAnsi="Segoe UI" w:cs="Segoe UI"/>
        </w:rPr>
        <w:t>A főösszeg változása önmagában nem alkalmas a gazdálkodás hatékonyságának megítélésére. A vizsgált években az infláció, a bérek, a kamatok és az energiaárak változása egyaránt befolyásolta a kiadásokat. Ezért a nominális adatok mellett a kiadási szerkezetet, valamint az egyes tételek lehetséges költséghatásait is vizsgálni kell.</w:t>
      </w:r>
      <w:r w:rsidR="00692EC1" w:rsidRPr="00692EC1">
        <w:rPr>
          <w:rFonts w:ascii="Segoe UI" w:hAnsi="Segoe UI" w:cs="Segoe UI"/>
        </w:rPr>
        <w:t xml:space="preserve"> Ezek a következőket mutatják:</w:t>
      </w:r>
    </w:p>
    <w:p w14:paraId="325285AD" w14:textId="36F7ACF1"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Fővárosi Önkormányzat kiadásai nominálisan jelentősen, közel 74%-kal emelkedtek 2019 és 2025 között</w:t>
      </w:r>
      <w:r w:rsidRPr="00692EC1">
        <w:rPr>
          <w:rFonts w:ascii="Segoe UI" w:eastAsia="Times New Roman" w:hAnsi="Segoe UI" w:cs="Segoe UI"/>
          <w:kern w:val="0"/>
          <w:lang w:eastAsia="hu-HU"/>
          <w14:ligatures w14:val="none"/>
        </w:rPr>
        <w:t>, azonban a növekedés döntő része az inflációs környezet következménye volt.</w:t>
      </w:r>
    </w:p>
    <w:p w14:paraId="22DEFCF0" w14:textId="1472BDEA"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korrigált működési kiadások reálértéken lényegében nem növekedtek.</w:t>
      </w:r>
      <w:r w:rsidRPr="00692EC1">
        <w:rPr>
          <w:rFonts w:ascii="Segoe UI" w:eastAsia="Times New Roman" w:hAnsi="Segoe UI" w:cs="Segoe UI"/>
          <w:kern w:val="0"/>
          <w:lang w:eastAsia="hu-HU"/>
          <w14:ligatures w14:val="none"/>
        </w:rPr>
        <w:t xml:space="preserve"> A működési kiadások emelkedése nagyjából megfelelt az infláció mértékének.</w:t>
      </w:r>
    </w:p>
    <w:p w14:paraId="5F9A5AC7" w14:textId="77777777"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költségvetés legfontosabb változása nem a kiadások nagyságában, hanem azok szerkezetében következett be.</w:t>
      </w:r>
      <w:r w:rsidRPr="00692EC1">
        <w:rPr>
          <w:rFonts w:ascii="Segoe UI" w:eastAsia="Times New Roman" w:hAnsi="Segoe UI" w:cs="Segoe UI"/>
          <w:kern w:val="0"/>
          <w:lang w:eastAsia="hu-HU"/>
          <w14:ligatures w14:val="none"/>
        </w:rPr>
        <w:t xml:space="preserve"> Egyre nagyobb forrásokat kötött le a közösségi közlekedés finanszírozása és a szolidaritási hozzájárulás növekvő terhe, miközben más célokra kevesebb forrás maradt.</w:t>
      </w:r>
    </w:p>
    <w:p w14:paraId="3F996B18" w14:textId="77777777"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szolidaritási hozzájárulás vált a költségvetés egyik legdinamikusabban növekvő tételévé.</w:t>
      </w:r>
      <w:r w:rsidRPr="00692EC1">
        <w:rPr>
          <w:rFonts w:ascii="Segoe UI" w:eastAsia="Times New Roman" w:hAnsi="Segoe UI" w:cs="Segoe UI"/>
          <w:kern w:val="0"/>
          <w:lang w:eastAsia="hu-HU"/>
          <w14:ligatures w14:val="none"/>
        </w:rPr>
        <w:t xml:space="preserve"> Terhe a 2019-es szint többszörösére emelkedett, jelentősen szűkítve a szabadon felhasználható önkormányzati forrásokat.</w:t>
      </w:r>
    </w:p>
    <w:p w14:paraId="7BAE59A6" w14:textId="77777777"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közösségi közlekedés finanszírozási igénye érdemben nőtt.</w:t>
      </w:r>
      <w:r w:rsidRPr="00692EC1">
        <w:rPr>
          <w:rFonts w:ascii="Segoe UI" w:eastAsia="Times New Roman" w:hAnsi="Segoe UI" w:cs="Segoe UI"/>
          <w:kern w:val="0"/>
          <w:lang w:eastAsia="hu-HU"/>
          <w14:ligatures w14:val="none"/>
        </w:rPr>
        <w:t xml:space="preserve"> A fővárosnak lényegesen nagyobb saját forrást kellett biztosítania a szolgáltatási színvonal fenntartásához, mint 2019-ben.</w:t>
      </w:r>
    </w:p>
    <w:p w14:paraId="6AB21EA7" w14:textId="77777777"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személyi jellegű kiadások emelkedése alapvetően a bérkörnyezet változásával magyarázható.</w:t>
      </w:r>
      <w:r w:rsidRPr="00692EC1">
        <w:rPr>
          <w:rFonts w:ascii="Segoe UI" w:eastAsia="Times New Roman" w:hAnsi="Segoe UI" w:cs="Segoe UI"/>
          <w:kern w:val="0"/>
          <w:lang w:eastAsia="hu-HU"/>
          <w14:ligatures w14:val="none"/>
        </w:rPr>
        <w:t xml:space="preserve"> A növekedés nagyrészt követte a munkaerőpiacon és a közszférában végbement bérfelzárkózást.</w:t>
      </w:r>
    </w:p>
    <w:p w14:paraId="4E4ED57E" w14:textId="589EEC0C"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dologi kiadások reálértéken nem mutatnak érdemi növekedést.</w:t>
      </w:r>
      <w:r w:rsidRPr="00692EC1">
        <w:rPr>
          <w:rFonts w:ascii="Segoe UI" w:eastAsia="Times New Roman" w:hAnsi="Segoe UI" w:cs="Segoe UI"/>
          <w:kern w:val="0"/>
          <w:lang w:eastAsia="hu-HU"/>
          <w14:ligatures w14:val="none"/>
        </w:rPr>
        <w:t xml:space="preserve"> A tisztított dologi kiadások növekedése szinte teljes egészében megfelel az infláció által indokolt szintnek.</w:t>
      </w:r>
    </w:p>
    <w:p w14:paraId="41612109" w14:textId="77777777"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legjelentősebb visszaesés a fejlesztési kiadásoknál figyelhető meg.</w:t>
      </w:r>
      <w:r w:rsidRPr="00692EC1">
        <w:rPr>
          <w:rFonts w:ascii="Segoe UI" w:eastAsia="Times New Roman" w:hAnsi="Segoe UI" w:cs="Segoe UI"/>
          <w:kern w:val="0"/>
          <w:lang w:eastAsia="hu-HU"/>
          <w14:ligatures w14:val="none"/>
        </w:rPr>
        <w:t xml:space="preserve"> A beruházások és felújítások volumene 2025-re a 2019-es szint töredékére csökkent.</w:t>
      </w:r>
    </w:p>
    <w:p w14:paraId="463D1D14" w14:textId="77777777"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főváros a működőképesség fenntartását a fejlesztések rovására biztosította.</w:t>
      </w:r>
      <w:r w:rsidRPr="00692EC1">
        <w:rPr>
          <w:rFonts w:ascii="Segoe UI" w:eastAsia="Times New Roman" w:hAnsi="Segoe UI" w:cs="Segoe UI"/>
          <w:kern w:val="0"/>
          <w:lang w:eastAsia="hu-HU"/>
          <w14:ligatures w14:val="none"/>
        </w:rPr>
        <w:t xml:space="preserve"> A rendelkezésre álló forrásokat egyre inkább a kötelező működési feladatok finanszírozása kötötte le.</w:t>
      </w:r>
    </w:p>
    <w:p w14:paraId="319154B2" w14:textId="77777777" w:rsidR="00692EC1" w:rsidRPr="00692EC1" w:rsidRDefault="00692EC1" w:rsidP="00692EC1">
      <w:pPr>
        <w:numPr>
          <w:ilvl w:val="0"/>
          <w:numId w:val="4"/>
        </w:numPr>
        <w:spacing w:before="100" w:beforeAutospacing="1" w:after="100" w:afterAutospacing="1" w:line="300" w:lineRule="atLeast"/>
        <w:jc w:val="both"/>
        <w:rPr>
          <w:rFonts w:ascii="Segoe UI" w:eastAsia="Times New Roman" w:hAnsi="Segoe UI" w:cs="Segoe UI"/>
          <w:kern w:val="0"/>
          <w:lang w:eastAsia="hu-HU"/>
          <w14:ligatures w14:val="none"/>
        </w:rPr>
      </w:pPr>
      <w:r w:rsidRPr="00692EC1">
        <w:rPr>
          <w:rFonts w:ascii="Segoe UI" w:eastAsia="Times New Roman" w:hAnsi="Segoe UI" w:cs="Segoe UI"/>
          <w:b/>
          <w:bCs/>
          <w:kern w:val="0"/>
          <w:lang w:eastAsia="hu-HU"/>
          <w14:ligatures w14:val="none"/>
        </w:rPr>
        <w:t>A vizsgált időszak összességében nem a költségvetés expanziójáról, hanem egy kényszerű szerkezeti alkalmazkodásról szólt.</w:t>
      </w:r>
      <w:r w:rsidRPr="00692EC1">
        <w:rPr>
          <w:rFonts w:ascii="Segoe UI" w:eastAsia="Times New Roman" w:hAnsi="Segoe UI" w:cs="Segoe UI"/>
          <w:kern w:val="0"/>
          <w:lang w:eastAsia="hu-HU"/>
          <w14:ligatures w14:val="none"/>
        </w:rPr>
        <w:t xml:space="preserve"> A főváros reálértéken nagyjából ugyanakkora működési erőforrással gazdálkodott, miközben jelentősen </w:t>
      </w:r>
      <w:proofErr w:type="spellStart"/>
      <w:r w:rsidRPr="00692EC1">
        <w:rPr>
          <w:rFonts w:ascii="Segoe UI" w:eastAsia="Times New Roman" w:hAnsi="Segoe UI" w:cs="Segoe UI"/>
          <w:kern w:val="0"/>
          <w:lang w:eastAsia="hu-HU"/>
          <w14:ligatures w14:val="none"/>
        </w:rPr>
        <w:t>megnőttek</w:t>
      </w:r>
      <w:proofErr w:type="spellEnd"/>
      <w:r w:rsidRPr="00692EC1">
        <w:rPr>
          <w:rFonts w:ascii="Segoe UI" w:eastAsia="Times New Roman" w:hAnsi="Segoe UI" w:cs="Segoe UI"/>
          <w:kern w:val="0"/>
          <w:lang w:eastAsia="hu-HU"/>
          <w14:ligatures w14:val="none"/>
        </w:rPr>
        <w:t xml:space="preserve"> a kötelező finanszírozási terhei, és beszűkültek fejlesztési lehetőségei.</w:t>
      </w:r>
    </w:p>
    <w:p w14:paraId="584B0A10" w14:textId="51CDF7FB" w:rsidR="00692EC1" w:rsidRDefault="00692EC1">
      <w:pPr>
        <w:rPr>
          <w:rFonts w:ascii="Segoe UI" w:eastAsia="Times New Roman" w:hAnsi="Segoe UI" w:cs="Segoe UI"/>
          <w:b/>
          <w:bCs/>
          <w:kern w:val="0"/>
          <w:sz w:val="21"/>
          <w:szCs w:val="21"/>
          <w:lang w:eastAsia="hu-HU"/>
          <w14:ligatures w14:val="none"/>
        </w:rPr>
      </w:pPr>
      <w:r>
        <w:rPr>
          <w:rFonts w:ascii="Segoe UI" w:eastAsia="Times New Roman" w:hAnsi="Segoe UI" w:cs="Segoe UI"/>
          <w:b/>
          <w:bCs/>
          <w:kern w:val="0"/>
          <w:sz w:val="21"/>
          <w:szCs w:val="21"/>
          <w:lang w:eastAsia="hu-HU"/>
          <w14:ligatures w14:val="none"/>
        </w:rPr>
        <w:br w:type="page"/>
      </w:r>
    </w:p>
    <w:p w14:paraId="488D9828" w14:textId="32AA831C" w:rsidR="00D33143" w:rsidRDefault="00D33143" w:rsidP="00D33143">
      <w:pPr>
        <w:pStyle w:val="Cmsor2"/>
      </w:pPr>
      <w:r>
        <w:lastRenderedPageBreak/>
        <w:t>Bevezetés: a kiadások értelmezésének szempontjai</w:t>
      </w:r>
    </w:p>
    <w:p w14:paraId="7B1324BF" w14:textId="77777777" w:rsidR="00D33143" w:rsidRDefault="00D33143" w:rsidP="00D07F0D">
      <w:pPr>
        <w:jc w:val="both"/>
      </w:pPr>
      <w:r>
        <w:t>Egy település pénzügyi helyzet szempontjából három kategóriába sorolható. Az első esetben akkor beszélünk gazdálkodási szempontból fenntartható településről, ha a folyó évi működési bevételek meghaladják a folyó évi működési kiadásokat, és a többlet legalább a felújítási feladatokra elegendő (adaptív felújítási „kötelezettség”). Az adaptív felújítási kötelezettség azt jelenti, hogy meglévő eszközeit (például utak, hidak, felüljárók, épületek, zöldfelületek stb.) nemcsak karbantartja, de legalább amortizációs jellegű felújításokat képes elvégezni, és mindezt a XXI. századi igényeknek megfelelően teszi.</w:t>
      </w:r>
    </w:p>
    <w:p w14:paraId="2875BB02" w14:textId="77777777" w:rsidR="00D33143" w:rsidRDefault="00D33143" w:rsidP="00D07F0D">
      <w:pPr>
        <w:jc w:val="both"/>
      </w:pPr>
      <w:r>
        <w:t>A második csoportba azok a települések tartoznak, amelyek esetében a folyó évi működési bevételek elérik a folyó évi működési kiadásokat. Ez egy működőképes modell. Azaz napi kiadásait finanszírozni képes, de már csak külső forrásból (hitel, támogatás) tudja az amortizációs pótlásokat végrehajtani. Nem ideális ez a helyzet, de sok önkormányzat valójában ebben van.</w:t>
      </w:r>
    </w:p>
    <w:p w14:paraId="47940CE0" w14:textId="77777777" w:rsidR="00D33143" w:rsidRDefault="00D33143" w:rsidP="00D07F0D">
      <w:pPr>
        <w:jc w:val="both"/>
      </w:pPr>
      <w:r>
        <w:t>Akkor beszélünk arról, hogy fenntarthatatlan egy település gazdálkodása (ez nem meglepő módon a harmadik csoport), ha a folyó évi működési bevételek nem érik el a folyó évi működési kiadásokat. Kérdezhetnénk, hogy ilyenkor mi történik a hiánnyal, hiszen minden számlát ki kell fizetni év végére, és működési hitele nem lehet a településnek. Ebben a verzióban ezt úgy lehet megoldani, ha képes a település a korábban fel nem használt pénzeit (maradványt) beforgatni az éves hiány fedezetére. Ez tulajdonképpen pontosan ugyanúgy történik, mintha egy családi kasszát néznénk. A különbség az, hogy amennyiben a családi kassza hiányt mutat, akkor elmehet pénzért, és hitel segítségével pótolja ezt. Ehhez csak a bank „engedélye” kell, amikor hitelképesnek tekint minket (vagy sem), és már folyósítható a segítség. Az önkormányzatoknál ez nem így van, ott kell a bank hitelképességi vizsgálata, de kell a kormány engedélye is.</w:t>
      </w:r>
    </w:p>
    <w:p w14:paraId="15BEBC5A" w14:textId="77777777" w:rsidR="00D33143" w:rsidRDefault="00D33143" w:rsidP="00D33143">
      <w:r>
        <w:t xml:space="preserve">Ez a Fővárosi Önkormányzat esetében a következőképpen nézett ki: </w:t>
      </w:r>
    </w:p>
    <w:p w14:paraId="514C8D67" w14:textId="699CE35C" w:rsidR="00D33143" w:rsidRDefault="00D33143" w:rsidP="00D33143">
      <w:r>
        <w:rPr>
          <w:noProof/>
        </w:rPr>
        <w:drawing>
          <wp:inline distT="0" distB="0" distL="0" distR="0" wp14:anchorId="42CB3BC1" wp14:editId="09C03435">
            <wp:extent cx="5445125" cy="3352800"/>
            <wp:effectExtent l="0" t="0" r="3175" b="0"/>
            <wp:docPr id="1766824762" name="Diagram 1">
              <a:extLst xmlns:a="http://schemas.openxmlformats.org/drawingml/2006/main">
                <a:ext uri="{FF2B5EF4-FFF2-40B4-BE49-F238E27FC236}">
                  <a16:creationId xmlns:a16="http://schemas.microsoft.com/office/drawing/2014/main" id="{8C58A162-524C-EF63-54E6-EF3F0311CB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t xml:space="preserve"> </w:t>
      </w:r>
    </w:p>
    <w:p w14:paraId="00D997EA" w14:textId="2F102936" w:rsidR="00D33143" w:rsidRDefault="009062EF" w:rsidP="00D07F0D">
      <w:pPr>
        <w:jc w:val="both"/>
      </w:pPr>
      <w:r>
        <w:t xml:space="preserve">Budapest esetében </w:t>
      </w:r>
      <w:r w:rsidR="00D33143">
        <w:t>2019. év volt az utolsó, amikor pénzügyi likviditást mentő művelet nélkül a folyó évi bevételek meghaladták a működési kiadásokat. A 202</w:t>
      </w:r>
      <w:r w:rsidR="001E6BEB">
        <w:t>3</w:t>
      </w:r>
      <w:r w:rsidR="00D33143">
        <w:t>. év látszólag volt stabil</w:t>
      </w:r>
      <w:r w:rsidR="00222F22">
        <w:t xml:space="preserve"> (nem fenntartható pályán)</w:t>
      </w:r>
      <w:r w:rsidR="00D33143">
        <w:t xml:space="preserve">, hiszen az energiaválság </w:t>
      </w:r>
      <w:r>
        <w:t xml:space="preserve">miatt </w:t>
      </w:r>
      <w:r w:rsidR="00D33143">
        <w:t>abban az év</w:t>
      </w:r>
      <w:r w:rsidR="001E6BEB">
        <w:t>ek</w:t>
      </w:r>
      <w:r w:rsidR="00D33143">
        <w:t xml:space="preserve">ben volt kénytelen első </w:t>
      </w:r>
      <w:r w:rsidR="00D33143">
        <w:lastRenderedPageBreak/>
        <w:t>alkalommal az önkormányzat kötelezettségvállalás értékesítés</w:t>
      </w:r>
      <w:r>
        <w:t xml:space="preserve"> (faktor)</w:t>
      </w:r>
      <w:r w:rsidR="00D33143">
        <w:t xml:space="preserve"> pénzügyi eszközéhez nyúlni. Ekkor 50 milliárd </w:t>
      </w:r>
      <w:proofErr w:type="gramStart"/>
      <w:r w:rsidR="00D33143">
        <w:t>forint értékben</w:t>
      </w:r>
      <w:proofErr w:type="gramEnd"/>
      <w:r w:rsidR="00D33143">
        <w:t xml:space="preserve"> biztosított átmeneti finanszírozást egy banki konstrukció a közösségi közlekedés utolsó havi kiadásaira.</w:t>
      </w:r>
    </w:p>
    <w:p w14:paraId="28C65BCA" w14:textId="2F6061CA" w:rsidR="00222F22" w:rsidRDefault="00222F22" w:rsidP="00D07F0D">
      <w:pPr>
        <w:jc w:val="both"/>
      </w:pPr>
      <w:r>
        <w:t xml:space="preserve"> A 2024. évben viszont a pénzügyi túlélés érdekében a következőt hajtotta végre az önkormányzat a zárszámadási beszámoló alapján: „</w:t>
      </w:r>
      <w:r w:rsidRPr="00222F22">
        <w:t xml:space="preserve">Jelentős összegű működési kiadási tétel még a központi költségvetési törvényben 75.543,6 millió Ft összegben megállapított, Önkormányzat által fizetendő </w:t>
      </w:r>
      <w:r w:rsidRPr="00222F22">
        <w:rPr>
          <w:i/>
          <w:iCs/>
        </w:rPr>
        <w:t xml:space="preserve">szolidaritási hozzájárulás </w:t>
      </w:r>
      <w:r w:rsidRPr="00222F22">
        <w:t>összege is, mely a tárgyidőszakban – a központi költségvetési támogatások összegével egyezően – 41.847,0 millió Ft összegben került költségvetési kiadásként elszámolásra. A különbözet (33.696,6 millió Ft) nem költségvetési kiadási tételként, hanem a sajátos eszközoldali elszámolások között került kimutatásra. Ténylegesen a forgótőke-megelőlegezés keretében 69.500,0 millió Ft került megfizetésre.</w:t>
      </w:r>
      <w:r>
        <w:t xml:space="preserve"> (…) </w:t>
      </w:r>
      <w:r w:rsidRPr="00222F22">
        <w:t>a 2024. december hónapra esedékes 6.454,1 millió Ft forgótőke-megelőlegezés</w:t>
      </w:r>
      <w:proofErr w:type="spellStart"/>
      <w:r w:rsidRPr="00222F22"/>
      <w:proofErr w:type="spellEnd"/>
      <w:r w:rsidRPr="00222F22">
        <w:t xml:space="preserve"> összegére azonnali jogvédelemben részesült, melyből a szolidaritási hozzájárulás 6.043,6 millió Ft.</w:t>
      </w:r>
      <w:r>
        <w:t>”</w:t>
      </w:r>
    </w:p>
    <w:p w14:paraId="16CE68F9" w14:textId="409411D5" w:rsidR="00222F22" w:rsidRDefault="00222F22" w:rsidP="00D07F0D">
      <w:pPr>
        <w:jc w:val="both"/>
      </w:pPr>
      <w:r>
        <w:t>Amennyiben ezzel a 33,7 milliárd forinttal korrigálnánk a 2024. évi adatokat, akkor eltűnne a működési többlet.</w:t>
      </w:r>
    </w:p>
    <w:p w14:paraId="36A5AA46" w14:textId="77777777" w:rsidR="00D33143" w:rsidRDefault="00D33143" w:rsidP="00D07F0D">
      <w:pPr>
        <w:jc w:val="both"/>
      </w:pPr>
      <w:r>
        <w:t>Ezért indultunk ki abból, hogy 2019. év volt, amikor fenntartható pályán volt a költségvetés szerkezete. Ezért ezekre a számokra kell origóként tekinteni.</w:t>
      </w:r>
    </w:p>
    <w:p w14:paraId="0C82171A" w14:textId="77777777" w:rsidR="00D33143" w:rsidRDefault="00D33143" w:rsidP="00D07F0D">
      <w:pPr>
        <w:jc w:val="both"/>
      </w:pPr>
      <w:r>
        <w:t>Ahhoz, hogy az önkormányzati költségvetés kiadási oldalát érdemben vizsgálni tudjuk, nem elegendő a két év forintösszegeit egymás mellé helyezni. A nominális növekedés azt mutatja meg, hogy az adott évben mekkora összeget fordított az önkormányzat a feladatokra, de nem mutatja meg önmagában, hogy ugyanannyi szolgáltatás előállítása mennyivel került többe, vagy változott-e a szolgáltatások mennyisége és minősége.</w:t>
      </w:r>
    </w:p>
    <w:p w14:paraId="75BCECF3" w14:textId="77777777" w:rsidR="00D33143" w:rsidRDefault="00D33143" w:rsidP="00D07F0D">
      <w:pPr>
        <w:jc w:val="both"/>
      </w:pPr>
      <w:r>
        <w:t>A 2019–2025 közötti időszak értékelését különösen érzékennyé teszi az ár- és költségkörnyezet változása. A bérek, az energia, a kamatok és az általános beszerzési árak eltérő módon hatnak az egyes kiadási csoportokra. Egyetlen általános inflációs mutató ezért csak közelítő támpontot adhat: a közlekedési szolgáltatások, az építőipari beruházások és a személyi kiadások költségdinamikája eltérhet egymástól.</w:t>
      </w:r>
    </w:p>
    <w:p w14:paraId="4B9B8BD2" w14:textId="294FE549" w:rsidR="00D33143" w:rsidRDefault="00D33143" w:rsidP="00D07F0D">
      <w:pPr>
        <w:jc w:val="both"/>
      </w:pPr>
      <w:r>
        <w:t xml:space="preserve">A tanulmány két összehasonlítási szintet alkalmaz. Az első a nominális összevetés, amely a forrásban szereplő forintösszegeket és százalékos változásokat mutatja. A második az értelmező szint, amely a dokumentum által megjelölt külső tényezőket és szerkezeti folyamatokat veszi figyelembe. </w:t>
      </w:r>
    </w:p>
    <w:p w14:paraId="50C4D56A" w14:textId="77777777" w:rsidR="00D33143" w:rsidRDefault="00D33143" w:rsidP="00D07F0D">
      <w:pPr>
        <w:jc w:val="both"/>
      </w:pPr>
      <w:r>
        <w:t>Ha a 2019-es bázist 100-nak vesszük:</w:t>
      </w:r>
    </w:p>
    <w:tbl>
      <w:tblPr>
        <w:tblStyle w:val="Tblzatrcsos1vilgos1jellszn"/>
        <w:tblW w:w="0" w:type="auto"/>
        <w:jc w:val="center"/>
        <w:tblLook w:val="04A0" w:firstRow="1" w:lastRow="0" w:firstColumn="1" w:lastColumn="0" w:noHBand="0" w:noVBand="1"/>
      </w:tblPr>
      <w:tblGrid>
        <w:gridCol w:w="2430"/>
        <w:gridCol w:w="687"/>
      </w:tblGrid>
      <w:tr w:rsidR="00D33143" w:rsidRPr="00C322AF" w14:paraId="253FE72B" w14:textId="77777777" w:rsidTr="009062E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43EE2C" w14:textId="77777777" w:rsidR="00D33143" w:rsidRPr="00C322AF" w:rsidRDefault="00D33143" w:rsidP="003348E2">
            <w:pPr>
              <w:spacing w:after="200" w:line="276" w:lineRule="auto"/>
            </w:pPr>
            <w:r w:rsidRPr="00C322AF">
              <w:t>Mutató</w:t>
            </w:r>
          </w:p>
        </w:tc>
        <w:tc>
          <w:tcPr>
            <w:tcW w:w="0" w:type="auto"/>
            <w:hideMark/>
          </w:tcPr>
          <w:p w14:paraId="5C14CE6C" w14:textId="77777777" w:rsidR="00D33143" w:rsidRPr="00C322AF" w:rsidRDefault="00D33143" w:rsidP="003348E2">
            <w:pPr>
              <w:spacing w:after="200" w:line="276" w:lineRule="auto"/>
              <w:cnfStyle w:val="100000000000" w:firstRow="1" w:lastRow="0" w:firstColumn="0" w:lastColumn="0" w:oddVBand="0" w:evenVBand="0" w:oddHBand="0" w:evenHBand="0" w:firstRowFirstColumn="0" w:firstRowLastColumn="0" w:lastRowFirstColumn="0" w:lastRowLastColumn="0"/>
            </w:pPr>
            <w:r w:rsidRPr="00C322AF">
              <w:t>2025</w:t>
            </w:r>
          </w:p>
        </w:tc>
      </w:tr>
      <w:tr w:rsidR="00D33143" w:rsidRPr="00C322AF" w14:paraId="1B8E44DF" w14:textId="77777777" w:rsidTr="009062E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941F9C" w14:textId="77777777" w:rsidR="00D33143" w:rsidRPr="00C322AF" w:rsidRDefault="00D33143" w:rsidP="003348E2">
            <w:pPr>
              <w:spacing w:after="200" w:line="276" w:lineRule="auto"/>
            </w:pPr>
            <w:r w:rsidRPr="00C322AF">
              <w:t>Infláció</w:t>
            </w:r>
          </w:p>
        </w:tc>
        <w:tc>
          <w:tcPr>
            <w:tcW w:w="0" w:type="auto"/>
            <w:hideMark/>
          </w:tcPr>
          <w:p w14:paraId="108D65FD" w14:textId="205AE386" w:rsidR="00D33143" w:rsidRPr="00C322AF" w:rsidRDefault="00692EC1" w:rsidP="003348E2">
            <w:pPr>
              <w:spacing w:after="200" w:line="276" w:lineRule="auto"/>
              <w:cnfStyle w:val="000000000000" w:firstRow="0" w:lastRow="0" w:firstColumn="0" w:lastColumn="0" w:oddVBand="0" w:evenVBand="0" w:oddHBand="0" w:evenHBand="0" w:firstRowFirstColumn="0" w:firstRowLastColumn="0" w:lastRowFirstColumn="0" w:lastRowLastColumn="0"/>
            </w:pPr>
            <w:r>
              <w:t>15</w:t>
            </w:r>
            <w:r w:rsidR="00C147CA">
              <w:t>8</w:t>
            </w:r>
          </w:p>
        </w:tc>
      </w:tr>
      <w:tr w:rsidR="00D33143" w:rsidRPr="00C322AF" w14:paraId="29EF51C9" w14:textId="77777777" w:rsidTr="009062E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BF4EE10" w14:textId="77777777" w:rsidR="00D33143" w:rsidRPr="00C322AF" w:rsidRDefault="00D33143" w:rsidP="003348E2">
            <w:pPr>
              <w:spacing w:after="200" w:line="276" w:lineRule="auto"/>
            </w:pPr>
            <w:r w:rsidRPr="00C322AF">
              <w:t>Országos átlagkereset</w:t>
            </w:r>
          </w:p>
        </w:tc>
        <w:tc>
          <w:tcPr>
            <w:tcW w:w="0" w:type="auto"/>
            <w:hideMark/>
          </w:tcPr>
          <w:p w14:paraId="3E5DA77E" w14:textId="77777777" w:rsidR="00D33143" w:rsidRPr="00C322AF" w:rsidRDefault="00D33143" w:rsidP="003348E2">
            <w:pPr>
              <w:spacing w:after="200" w:line="276" w:lineRule="auto"/>
              <w:cnfStyle w:val="000000000000" w:firstRow="0" w:lastRow="0" w:firstColumn="0" w:lastColumn="0" w:oddVBand="0" w:evenVBand="0" w:oddHBand="0" w:evenHBand="0" w:firstRowFirstColumn="0" w:firstRowLastColumn="0" w:lastRowFirstColumn="0" w:lastRowLastColumn="0"/>
            </w:pPr>
            <w:r w:rsidRPr="00C322AF">
              <w:t>198</w:t>
            </w:r>
          </w:p>
        </w:tc>
      </w:tr>
    </w:tbl>
    <w:p w14:paraId="3F81615F" w14:textId="77777777" w:rsidR="00D33143" w:rsidRDefault="00D33143" w:rsidP="00D33143"/>
    <w:p w14:paraId="4E75F380" w14:textId="32D8051C" w:rsidR="00D33143" w:rsidRDefault="00D33143" w:rsidP="00D07F0D">
      <w:pPr>
        <w:jc w:val="both"/>
      </w:pPr>
      <w:r>
        <w:t xml:space="preserve">Mivel a fővárosi közszolgáltató cégek esetében </w:t>
      </w:r>
      <w:r w:rsidR="00C147CA">
        <w:t>reális</w:t>
      </w:r>
      <w:r>
        <w:t xml:space="preserve"> az, hogy </w:t>
      </w:r>
      <w:proofErr w:type="gramStart"/>
      <w:r>
        <w:t xml:space="preserve">a bérek és a dologi kiadások 50–50%-os arányban jelennek meg a kiadási oldalon, ezért ott ezzel a változási mutatóval számolunk, azaz </w:t>
      </w:r>
      <w:proofErr w:type="gramEnd"/>
      <w:r/>
      <w:r w:rsidR="00692EC1">
        <w:t>178</w:t>
      </w:r>
      <w:r>
        <w:t>%-kal. Intézményi oldalon az alapszámok lehetőséget adnak arra, hogy szétbontsuk az egyes költségelemeket.</w:t>
      </w:r>
    </w:p>
    <w:p w14:paraId="75529E4E" w14:textId="5C7EC468" w:rsidR="00DD79B3" w:rsidRDefault="00DD79B3" w:rsidP="00D07F0D">
      <w:pPr>
        <w:jc w:val="both"/>
      </w:pPr>
      <w:r>
        <w:t>Mielőtt részletesen elemeznénk az adatokat, érdemes áttekinteni, hogy 2025-ben a fővárosi önkormányzat és a kerületek költségvetési adatai hogyan alakultak:</w:t>
      </w:r>
    </w:p>
    <w:p w14:paraId="5BD28023" w14:textId="77777777" w:rsidR="00DD79B3" w:rsidRDefault="00DD79B3" w:rsidP="00DD79B3">
      <w:pPr>
        <w:jc w:val="both"/>
      </w:pPr>
      <w:r>
        <w:t>Annak érdekében, hogy az összehasonlítás átlátható legyen, a finanszírozási bevételeket és kiadásokat kivettem, és csak a működési és felhalmozási egyenlegeket vizsgáltam. Ez alapján a következő kép rajzolódik ki:</w:t>
      </w:r>
    </w:p>
    <w:p w14:paraId="358AA00C" w14:textId="77777777" w:rsidR="00DD79B3" w:rsidRPr="00EA0C91" w:rsidRDefault="00DD79B3" w:rsidP="00DD79B3">
      <w:pPr>
        <w:jc w:val="right"/>
        <w:rPr>
          <w:sz w:val="18"/>
          <w:szCs w:val="18"/>
        </w:rPr>
      </w:pPr>
      <w:r w:rsidRPr="00EA0C91">
        <w:rPr>
          <w:sz w:val="18"/>
          <w:szCs w:val="18"/>
        </w:rPr>
        <w:t>(Mrd Ft)</w:t>
      </w:r>
    </w:p>
    <w:tbl>
      <w:tblPr>
        <w:tblStyle w:val="Tblzatrcsos1vilgos1jellszn"/>
        <w:tblW w:w="0" w:type="auto"/>
        <w:jc w:val="center"/>
        <w:tblLook w:val="04A0" w:firstRow="1" w:lastRow="0" w:firstColumn="1" w:lastColumn="0" w:noHBand="0" w:noVBand="1"/>
      </w:tblPr>
      <w:tblGrid>
        <w:gridCol w:w="1562"/>
        <w:gridCol w:w="1011"/>
        <w:gridCol w:w="1011"/>
        <w:gridCol w:w="1262"/>
        <w:gridCol w:w="1386"/>
        <w:gridCol w:w="1239"/>
      </w:tblGrid>
      <w:tr w:rsidR="00DD79B3" w:rsidRPr="00E3303B" w14:paraId="5A820F5D" w14:textId="77777777" w:rsidTr="003348E2">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562" w:type="dxa"/>
            <w:noWrap/>
            <w:hideMark/>
          </w:tcPr>
          <w:p w14:paraId="222AC454" w14:textId="77777777" w:rsidR="00DD79B3" w:rsidRPr="00E3303B" w:rsidRDefault="00DD79B3" w:rsidP="003348E2">
            <w:pPr>
              <w:rPr>
                <w:sz w:val="16"/>
                <w:szCs w:val="16"/>
              </w:rPr>
            </w:pPr>
          </w:p>
        </w:tc>
        <w:tc>
          <w:tcPr>
            <w:tcW w:w="1011" w:type="dxa"/>
            <w:hideMark/>
          </w:tcPr>
          <w:p w14:paraId="5DBA876E" w14:textId="77777777" w:rsidR="00DD79B3" w:rsidRPr="00E3303B" w:rsidRDefault="00DD79B3" w:rsidP="003348E2">
            <w:pPr>
              <w:cnfStyle w:val="100000000000" w:firstRow="1" w:lastRow="0" w:firstColumn="0" w:lastColumn="0" w:oddVBand="0" w:evenVBand="0" w:oddHBand="0" w:evenHBand="0" w:firstRowFirstColumn="0" w:firstRowLastColumn="0" w:lastRowFirstColumn="0" w:lastRowLastColumn="0"/>
              <w:rPr>
                <w:sz w:val="16"/>
                <w:szCs w:val="16"/>
              </w:rPr>
            </w:pPr>
            <w:r w:rsidRPr="00E3303B">
              <w:rPr>
                <w:sz w:val="16"/>
                <w:szCs w:val="16"/>
              </w:rPr>
              <w:t>működési bevétel</w:t>
            </w:r>
          </w:p>
        </w:tc>
        <w:tc>
          <w:tcPr>
            <w:tcW w:w="1011" w:type="dxa"/>
            <w:hideMark/>
          </w:tcPr>
          <w:p w14:paraId="57EA7AA6" w14:textId="77777777" w:rsidR="00DD79B3" w:rsidRPr="00E3303B" w:rsidRDefault="00DD79B3" w:rsidP="003348E2">
            <w:pPr>
              <w:cnfStyle w:val="100000000000" w:firstRow="1" w:lastRow="0" w:firstColumn="0" w:lastColumn="0" w:oddVBand="0" w:evenVBand="0" w:oddHBand="0" w:evenHBand="0" w:firstRowFirstColumn="0" w:firstRowLastColumn="0" w:lastRowFirstColumn="0" w:lastRowLastColumn="0"/>
              <w:rPr>
                <w:sz w:val="16"/>
                <w:szCs w:val="16"/>
              </w:rPr>
            </w:pPr>
            <w:r w:rsidRPr="00E3303B">
              <w:rPr>
                <w:sz w:val="16"/>
                <w:szCs w:val="16"/>
              </w:rPr>
              <w:t>működési kiadás</w:t>
            </w:r>
          </w:p>
        </w:tc>
        <w:tc>
          <w:tcPr>
            <w:tcW w:w="1262" w:type="dxa"/>
            <w:hideMark/>
          </w:tcPr>
          <w:p w14:paraId="59701D87" w14:textId="77777777" w:rsidR="00DD79B3" w:rsidRPr="00E3303B" w:rsidRDefault="00DD79B3" w:rsidP="003348E2">
            <w:pPr>
              <w:cnfStyle w:val="100000000000" w:firstRow="1" w:lastRow="0" w:firstColumn="0" w:lastColumn="0" w:oddVBand="0" w:evenVBand="0" w:oddHBand="0" w:evenHBand="0" w:firstRowFirstColumn="0" w:firstRowLastColumn="0" w:lastRowFirstColumn="0" w:lastRowLastColumn="0"/>
              <w:rPr>
                <w:sz w:val="16"/>
                <w:szCs w:val="16"/>
              </w:rPr>
            </w:pPr>
            <w:r w:rsidRPr="00E3303B">
              <w:rPr>
                <w:sz w:val="16"/>
                <w:szCs w:val="16"/>
              </w:rPr>
              <w:t>felhalmozási bevétel</w:t>
            </w:r>
          </w:p>
        </w:tc>
        <w:tc>
          <w:tcPr>
            <w:tcW w:w="1386" w:type="dxa"/>
            <w:hideMark/>
          </w:tcPr>
          <w:p w14:paraId="3D299B1C" w14:textId="77777777" w:rsidR="00DD79B3" w:rsidRPr="00E3303B" w:rsidRDefault="00DD79B3" w:rsidP="003348E2">
            <w:pPr>
              <w:cnfStyle w:val="100000000000" w:firstRow="1" w:lastRow="0" w:firstColumn="0" w:lastColumn="0" w:oddVBand="0" w:evenVBand="0" w:oddHBand="0" w:evenHBand="0" w:firstRowFirstColumn="0" w:firstRowLastColumn="0" w:lastRowFirstColumn="0" w:lastRowLastColumn="0"/>
              <w:rPr>
                <w:sz w:val="16"/>
                <w:szCs w:val="16"/>
              </w:rPr>
            </w:pPr>
            <w:r w:rsidRPr="00E3303B">
              <w:rPr>
                <w:sz w:val="16"/>
                <w:szCs w:val="16"/>
              </w:rPr>
              <w:t>felhalmozási kiadás</w:t>
            </w:r>
          </w:p>
        </w:tc>
        <w:tc>
          <w:tcPr>
            <w:tcW w:w="1239" w:type="dxa"/>
            <w:hideMark/>
          </w:tcPr>
          <w:p w14:paraId="00305D90" w14:textId="77777777" w:rsidR="00DD79B3" w:rsidRPr="00E3303B" w:rsidRDefault="00DD79B3" w:rsidP="003348E2">
            <w:pPr>
              <w:cnfStyle w:val="100000000000" w:firstRow="1" w:lastRow="0" w:firstColumn="0" w:lastColumn="0" w:oddVBand="0" w:evenVBand="0" w:oddHBand="0" w:evenHBand="0" w:firstRowFirstColumn="0" w:firstRowLastColumn="0" w:lastRowFirstColumn="0" w:lastRowLastColumn="0"/>
              <w:rPr>
                <w:sz w:val="16"/>
                <w:szCs w:val="16"/>
              </w:rPr>
            </w:pPr>
            <w:r w:rsidRPr="00E3303B">
              <w:rPr>
                <w:sz w:val="16"/>
                <w:szCs w:val="16"/>
              </w:rPr>
              <w:t>szolidaritási hozzájárulás</w:t>
            </w:r>
          </w:p>
        </w:tc>
      </w:tr>
      <w:tr w:rsidR="00DD79B3" w:rsidRPr="00E3303B" w14:paraId="63551C6B" w14:textId="77777777" w:rsidTr="003348E2">
        <w:trPr>
          <w:trHeight w:val="300"/>
          <w:jc w:val="center"/>
        </w:trPr>
        <w:tc>
          <w:tcPr>
            <w:cnfStyle w:val="001000000000" w:firstRow="0" w:lastRow="0" w:firstColumn="1" w:lastColumn="0" w:oddVBand="0" w:evenVBand="0" w:oddHBand="0" w:evenHBand="0" w:firstRowFirstColumn="0" w:firstRowLastColumn="0" w:lastRowFirstColumn="0" w:lastRowLastColumn="0"/>
            <w:tcW w:w="1562" w:type="dxa"/>
            <w:noWrap/>
            <w:hideMark/>
          </w:tcPr>
          <w:p w14:paraId="4A944983" w14:textId="77777777" w:rsidR="00DD79B3" w:rsidRPr="00E3303B" w:rsidRDefault="00DD79B3" w:rsidP="003348E2">
            <w:pPr>
              <w:rPr>
                <w:sz w:val="16"/>
                <w:szCs w:val="16"/>
              </w:rPr>
            </w:pPr>
            <w:r w:rsidRPr="00E3303B">
              <w:rPr>
                <w:sz w:val="16"/>
                <w:szCs w:val="16"/>
              </w:rPr>
              <w:t>kerületi önkormányzatok</w:t>
            </w:r>
          </w:p>
        </w:tc>
        <w:tc>
          <w:tcPr>
            <w:tcW w:w="1011" w:type="dxa"/>
            <w:noWrap/>
            <w:hideMark/>
          </w:tcPr>
          <w:p w14:paraId="35D50FF1"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738,762</w:t>
            </w:r>
          </w:p>
        </w:tc>
        <w:tc>
          <w:tcPr>
            <w:tcW w:w="1011" w:type="dxa"/>
            <w:noWrap/>
            <w:hideMark/>
          </w:tcPr>
          <w:p w14:paraId="49D152DD"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662,79</w:t>
            </w:r>
          </w:p>
        </w:tc>
        <w:tc>
          <w:tcPr>
            <w:tcW w:w="1262" w:type="dxa"/>
            <w:noWrap/>
            <w:hideMark/>
          </w:tcPr>
          <w:p w14:paraId="7E64B89B"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30,243</w:t>
            </w:r>
          </w:p>
        </w:tc>
        <w:tc>
          <w:tcPr>
            <w:tcW w:w="1386" w:type="dxa"/>
            <w:noWrap/>
            <w:hideMark/>
          </w:tcPr>
          <w:p w14:paraId="790B07B8"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69,751</w:t>
            </w:r>
          </w:p>
        </w:tc>
        <w:tc>
          <w:tcPr>
            <w:tcW w:w="1239" w:type="dxa"/>
            <w:noWrap/>
            <w:hideMark/>
          </w:tcPr>
          <w:p w14:paraId="37340FF6"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73,8</w:t>
            </w:r>
          </w:p>
        </w:tc>
      </w:tr>
      <w:tr w:rsidR="00DD79B3" w:rsidRPr="00E3303B" w14:paraId="6C2EB4FA" w14:textId="77777777" w:rsidTr="003348E2">
        <w:trPr>
          <w:trHeight w:val="300"/>
          <w:jc w:val="center"/>
        </w:trPr>
        <w:tc>
          <w:tcPr>
            <w:cnfStyle w:val="001000000000" w:firstRow="0" w:lastRow="0" w:firstColumn="1" w:lastColumn="0" w:oddVBand="0" w:evenVBand="0" w:oddHBand="0" w:evenHBand="0" w:firstRowFirstColumn="0" w:firstRowLastColumn="0" w:lastRowFirstColumn="0" w:lastRowLastColumn="0"/>
            <w:tcW w:w="1562" w:type="dxa"/>
            <w:noWrap/>
            <w:hideMark/>
          </w:tcPr>
          <w:p w14:paraId="53301CB9" w14:textId="77777777" w:rsidR="00DD79B3" w:rsidRPr="00E3303B" w:rsidRDefault="00DD79B3" w:rsidP="003348E2">
            <w:pPr>
              <w:rPr>
                <w:sz w:val="16"/>
                <w:szCs w:val="16"/>
              </w:rPr>
            </w:pPr>
            <w:r w:rsidRPr="00E3303B">
              <w:rPr>
                <w:sz w:val="16"/>
                <w:szCs w:val="16"/>
              </w:rPr>
              <w:t>Fővárosi Önkormányzat</w:t>
            </w:r>
          </w:p>
        </w:tc>
        <w:tc>
          <w:tcPr>
            <w:tcW w:w="1011" w:type="dxa"/>
            <w:noWrap/>
            <w:hideMark/>
          </w:tcPr>
          <w:p w14:paraId="77CAB59A"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423,3</w:t>
            </w:r>
          </w:p>
        </w:tc>
        <w:tc>
          <w:tcPr>
            <w:tcW w:w="1011" w:type="dxa"/>
            <w:noWrap/>
            <w:hideMark/>
          </w:tcPr>
          <w:p w14:paraId="36A5D154"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438,9</w:t>
            </w:r>
          </w:p>
        </w:tc>
        <w:tc>
          <w:tcPr>
            <w:tcW w:w="1262" w:type="dxa"/>
            <w:noWrap/>
            <w:hideMark/>
          </w:tcPr>
          <w:p w14:paraId="125C4B13"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5,78</w:t>
            </w:r>
          </w:p>
        </w:tc>
        <w:tc>
          <w:tcPr>
            <w:tcW w:w="1386" w:type="dxa"/>
            <w:noWrap/>
            <w:hideMark/>
          </w:tcPr>
          <w:p w14:paraId="79B8DD48"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14,6</w:t>
            </w:r>
          </w:p>
        </w:tc>
        <w:tc>
          <w:tcPr>
            <w:tcW w:w="1239" w:type="dxa"/>
            <w:noWrap/>
            <w:hideMark/>
          </w:tcPr>
          <w:p w14:paraId="440E1B00" w14:textId="77777777" w:rsidR="00DD79B3" w:rsidRPr="00E3303B" w:rsidRDefault="00DD79B3" w:rsidP="003348E2">
            <w:pPr>
              <w:jc w:val="right"/>
              <w:cnfStyle w:val="000000000000" w:firstRow="0" w:lastRow="0" w:firstColumn="0" w:lastColumn="0" w:oddVBand="0" w:evenVBand="0" w:oddHBand="0" w:evenHBand="0" w:firstRowFirstColumn="0" w:firstRowLastColumn="0" w:lastRowFirstColumn="0" w:lastRowLastColumn="0"/>
              <w:rPr>
                <w:sz w:val="16"/>
                <w:szCs w:val="16"/>
              </w:rPr>
            </w:pPr>
            <w:r w:rsidRPr="00E3303B">
              <w:rPr>
                <w:sz w:val="16"/>
                <w:szCs w:val="16"/>
              </w:rPr>
              <w:t>89,1</w:t>
            </w:r>
          </w:p>
        </w:tc>
      </w:tr>
    </w:tbl>
    <w:p w14:paraId="56E1BCD3" w14:textId="77777777" w:rsidR="00DD79B3" w:rsidRPr="00B5138E" w:rsidRDefault="00DD79B3" w:rsidP="00DD79B3">
      <w:pPr>
        <w:jc w:val="right"/>
        <w:rPr>
          <w:sz w:val="18"/>
          <w:szCs w:val="18"/>
        </w:rPr>
      </w:pPr>
      <w:r w:rsidRPr="00B5138E">
        <w:rPr>
          <w:sz w:val="18"/>
          <w:szCs w:val="18"/>
        </w:rPr>
        <w:t>(forrás: saját gyűjtés a 2025. évi zárszámadások alapján)</w:t>
      </w:r>
    </w:p>
    <w:p w14:paraId="5038A215" w14:textId="77777777" w:rsidR="00DD79B3" w:rsidRDefault="00DD79B3" w:rsidP="00DD79B3">
      <w:pPr>
        <w:jc w:val="both"/>
      </w:pPr>
      <w:r>
        <w:t>Néhány fontos megállapítás</w:t>
      </w:r>
    </w:p>
    <w:p w14:paraId="27AED0B4" w14:textId="77777777" w:rsidR="00DD79B3" w:rsidRDefault="00DD79B3" w:rsidP="00DD79B3">
      <w:pPr>
        <w:pStyle w:val="Listaszerbekezds"/>
        <w:numPr>
          <w:ilvl w:val="0"/>
          <w:numId w:val="5"/>
        </w:numPr>
        <w:jc w:val="both"/>
      </w:pPr>
      <w:r>
        <w:t>a szolidaritási hozzájárulás magasabb a főváros esetében, mint az összes kerület esetében együttvéve;</w:t>
      </w:r>
    </w:p>
    <w:p w14:paraId="78895165" w14:textId="77777777" w:rsidR="00DD79B3" w:rsidRDefault="00DD79B3" w:rsidP="00DD79B3">
      <w:pPr>
        <w:pStyle w:val="Listaszerbekezds"/>
        <w:numPr>
          <w:ilvl w:val="0"/>
          <w:numId w:val="5"/>
        </w:numPr>
        <w:jc w:val="both"/>
      </w:pPr>
      <w:r>
        <w:t>a kerületek működési kiadása 51%-kal magasabb, mint a fővárosi önkormányzaté;</w:t>
      </w:r>
    </w:p>
    <w:p w14:paraId="47047EE3" w14:textId="77777777" w:rsidR="00DD79B3" w:rsidRDefault="00DD79B3" w:rsidP="00DD79B3">
      <w:pPr>
        <w:pStyle w:val="Listaszerbekezds"/>
        <w:numPr>
          <w:ilvl w:val="0"/>
          <w:numId w:val="5"/>
        </w:numPr>
        <w:jc w:val="both"/>
      </w:pPr>
      <w:r>
        <w:t>2025-ben a szolidaritási hozzájárulás következtében a főváros működési bevétele 15,6 milliárd forinttal elmaradt a kiadásoktól, míg a kerületek 76 milliárd forint működési többletet értek el. Ezt a többletet fejlesztésekre és beruházásokra is fordíthatták volna anélkül, hogy az előző évek megtakarításaihoz kellett volna nyúlniuk;</w:t>
      </w:r>
    </w:p>
    <w:p w14:paraId="12849339" w14:textId="77777777" w:rsidR="00DD79B3" w:rsidRDefault="00DD79B3" w:rsidP="00DD79B3">
      <w:pPr>
        <w:pStyle w:val="Listaszerbekezds"/>
        <w:numPr>
          <w:ilvl w:val="0"/>
          <w:numId w:val="5"/>
        </w:numPr>
        <w:jc w:val="both"/>
      </w:pPr>
      <w:r>
        <w:t>a fejlesztésekre költött források aránya a teljes kiadási oldalhoz viszonyítva azt mutatja, hogy arányaiban háromszor annyit tudtak beruházni a kerületek, mint a főváros. Míg nominálisan majdnem ötször akkora ez a különbség.</w:t>
      </w:r>
    </w:p>
    <w:p w14:paraId="5AF51EAA" w14:textId="77777777" w:rsidR="00DD79B3" w:rsidRDefault="00DD79B3" w:rsidP="00DD79B3">
      <w:pPr>
        <w:pStyle w:val="Listaszerbekezds"/>
        <w:jc w:val="both"/>
      </w:pPr>
    </w:p>
    <w:p w14:paraId="1E0B4C58" w14:textId="27A3764B" w:rsidR="00D33143" w:rsidRDefault="00D33143" w:rsidP="00D33143">
      <w:pPr>
        <w:pStyle w:val="Cmsor2"/>
      </w:pPr>
      <w:r>
        <w:t>A teljes kiadási főösszeg változása</w:t>
      </w:r>
    </w:p>
    <w:p w14:paraId="327C9374" w14:textId="27D8DF72" w:rsidR="00D33143" w:rsidRDefault="00D33143" w:rsidP="00D07F0D">
      <w:pPr>
        <w:jc w:val="both"/>
      </w:pPr>
      <w:r>
        <w:t xml:space="preserve">A teljes kiadási főösszeg 2019-ben 260,8 milliárd forint, 2025-ben 453,6 milliárd forint volt. A két érték különbsége 192,8 milliárd forint, ez </w:t>
      </w:r>
      <w:r w:rsidR="00D07F0D">
        <w:t>74</w:t>
      </w:r>
      <w:r>
        <w:t xml:space="preserve"> százalékos növekedés.</w:t>
      </w:r>
    </w:p>
    <w:tbl>
      <w:tblPr>
        <w:tblStyle w:val="Tblzatrcsos1vilgos1jellszn"/>
        <w:tblW w:w="0" w:type="auto"/>
        <w:tblLook w:val="04A0" w:firstRow="1" w:lastRow="0" w:firstColumn="1" w:lastColumn="0" w:noHBand="0" w:noVBand="1"/>
      </w:tblPr>
      <w:tblGrid>
        <w:gridCol w:w="2278"/>
        <w:gridCol w:w="2254"/>
        <w:gridCol w:w="2254"/>
        <w:gridCol w:w="2276"/>
      </w:tblGrid>
      <w:tr w:rsidR="00D33143" w14:paraId="66826AE1" w14:textId="77777777" w:rsidTr="009062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5" w:type="dxa"/>
          </w:tcPr>
          <w:p w14:paraId="5324C5F1" w14:textId="77777777" w:rsidR="00D33143" w:rsidRDefault="00D33143" w:rsidP="003348E2">
            <w:r>
              <w:t>Mutató</w:t>
            </w:r>
          </w:p>
        </w:tc>
        <w:tc>
          <w:tcPr>
            <w:tcW w:w="2365" w:type="dxa"/>
          </w:tcPr>
          <w:p w14:paraId="44CA9C19"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2019</w:t>
            </w:r>
          </w:p>
        </w:tc>
        <w:tc>
          <w:tcPr>
            <w:tcW w:w="2365" w:type="dxa"/>
          </w:tcPr>
          <w:p w14:paraId="2BD333FD"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2025</w:t>
            </w:r>
          </w:p>
        </w:tc>
        <w:tc>
          <w:tcPr>
            <w:tcW w:w="2365" w:type="dxa"/>
          </w:tcPr>
          <w:p w14:paraId="607E40A2"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Változás</w:t>
            </w:r>
          </w:p>
        </w:tc>
      </w:tr>
      <w:tr w:rsidR="00D33143" w14:paraId="22B30039"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344B2663" w14:textId="77777777" w:rsidR="00D33143" w:rsidRDefault="00D33143" w:rsidP="003348E2">
            <w:r>
              <w:t>Teljes kiadási főösszeg</w:t>
            </w:r>
          </w:p>
        </w:tc>
        <w:tc>
          <w:tcPr>
            <w:tcW w:w="2365" w:type="dxa"/>
          </w:tcPr>
          <w:p w14:paraId="420C65FA"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260,8 Mrd Ft</w:t>
            </w:r>
          </w:p>
        </w:tc>
        <w:tc>
          <w:tcPr>
            <w:tcW w:w="2365" w:type="dxa"/>
          </w:tcPr>
          <w:p w14:paraId="70B102A1"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453,6 Mrd Ft</w:t>
            </w:r>
          </w:p>
        </w:tc>
        <w:tc>
          <w:tcPr>
            <w:tcW w:w="2365" w:type="dxa"/>
          </w:tcPr>
          <w:p w14:paraId="51BEE062"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+192,8 Mrd Ft; kb. +74%</w:t>
            </w:r>
          </w:p>
        </w:tc>
      </w:tr>
    </w:tbl>
    <w:p w14:paraId="78BCD5F6" w14:textId="77777777" w:rsidR="00D33143" w:rsidRDefault="00D33143" w:rsidP="00D33143"/>
    <w:p w14:paraId="69BA6EF7" w14:textId="74FBBE34" w:rsidR="00D33143" w:rsidRDefault="00D33143" w:rsidP="00D07F0D">
      <w:pPr>
        <w:jc w:val="both"/>
      </w:pPr>
      <w:r>
        <w:t>A 74 százalékos emelkedés nominális mutató. Nem értelmezhető automatikusan a közszolgáltatások bővüléseként, a költséghatékonyság romlásaként vagy a gazdálkodási fegyelem lazulásaként.</w:t>
      </w:r>
    </w:p>
    <w:p w14:paraId="303FD84B" w14:textId="77777777" w:rsidR="00D33143" w:rsidRDefault="00D33143" w:rsidP="00D07F0D">
      <w:pPr>
        <w:jc w:val="both"/>
      </w:pPr>
      <w:r>
        <w:t>A főösszeg emelkedése mellett a belső arányok is átrendeződtek. A működési jellegű tételek súlya nőtt, miközben a beruházások és felújítások nominális összege is csökkent. Ez a kettős mozgás a költségvetési mozgástér szempontjából fontos: a működés finanszírozása egyre nagyobb összeget igényelt, a fejlesztési jellegű kiadásokra pedig kevesebb forrás jutott.</w:t>
      </w:r>
    </w:p>
    <w:p w14:paraId="0AEAC858" w14:textId="77777777" w:rsidR="00D33143" w:rsidRDefault="00D33143" w:rsidP="00D33143">
      <w:pPr>
        <w:pStyle w:val="Cmsor2"/>
      </w:pPr>
    </w:p>
    <w:p w14:paraId="1C597191" w14:textId="3C04457E" w:rsidR="00D33143" w:rsidRDefault="00D33143" w:rsidP="00D33143">
      <w:pPr>
        <w:pStyle w:val="Cmsor2"/>
      </w:pPr>
      <w:r>
        <w:t>A kiadási szerkezet főbb változásai</w:t>
      </w:r>
    </w:p>
    <w:p w14:paraId="5922222D" w14:textId="77777777" w:rsidR="00D33143" w:rsidRPr="00D33143" w:rsidRDefault="00D33143" w:rsidP="00D33143"/>
    <w:tbl>
      <w:tblPr>
        <w:tblStyle w:val="Tblzatrcsos1vilgos1jellszn"/>
        <w:tblW w:w="0" w:type="auto"/>
        <w:tblLook w:val="04A0" w:firstRow="1" w:lastRow="0" w:firstColumn="1" w:lastColumn="0" w:noHBand="0" w:noVBand="1"/>
      </w:tblPr>
      <w:tblGrid>
        <w:gridCol w:w="2301"/>
        <w:gridCol w:w="2246"/>
        <w:gridCol w:w="2246"/>
        <w:gridCol w:w="2269"/>
      </w:tblGrid>
      <w:tr w:rsidR="00D33143" w14:paraId="4863B7B7" w14:textId="77777777" w:rsidTr="009062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5" w:type="dxa"/>
          </w:tcPr>
          <w:p w14:paraId="135DB191" w14:textId="77777777" w:rsidR="00D33143" w:rsidRDefault="00D33143" w:rsidP="003348E2">
            <w:r>
              <w:t>Kiadási főcsoport</w:t>
            </w:r>
          </w:p>
        </w:tc>
        <w:tc>
          <w:tcPr>
            <w:tcW w:w="2365" w:type="dxa"/>
          </w:tcPr>
          <w:p w14:paraId="0C71B9CE"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2019</w:t>
            </w:r>
          </w:p>
        </w:tc>
        <w:tc>
          <w:tcPr>
            <w:tcW w:w="2365" w:type="dxa"/>
          </w:tcPr>
          <w:p w14:paraId="01F1DB2C"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2025</w:t>
            </w:r>
          </w:p>
        </w:tc>
        <w:tc>
          <w:tcPr>
            <w:tcW w:w="2365" w:type="dxa"/>
          </w:tcPr>
          <w:p w14:paraId="3671D777"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Változás</w:t>
            </w:r>
          </w:p>
        </w:tc>
      </w:tr>
      <w:tr w:rsidR="00D33143" w14:paraId="3D693D9D"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348BBCE6" w14:textId="77777777" w:rsidR="00D33143" w:rsidRDefault="00D33143" w:rsidP="003348E2">
            <w:r>
              <w:t>Személyi juttatások</w:t>
            </w:r>
          </w:p>
        </w:tc>
        <w:tc>
          <w:tcPr>
            <w:tcW w:w="2365" w:type="dxa"/>
          </w:tcPr>
          <w:p w14:paraId="6FDAA017"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25,4 Mrd Ft</w:t>
            </w:r>
          </w:p>
        </w:tc>
        <w:tc>
          <w:tcPr>
            <w:tcW w:w="2365" w:type="dxa"/>
          </w:tcPr>
          <w:p w14:paraId="313C78B5"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50,5 Mrd Ft</w:t>
            </w:r>
          </w:p>
        </w:tc>
        <w:tc>
          <w:tcPr>
            <w:tcW w:w="2365" w:type="dxa"/>
          </w:tcPr>
          <w:p w14:paraId="77EF9663"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+99%</w:t>
            </w:r>
          </w:p>
        </w:tc>
      </w:tr>
      <w:tr w:rsidR="00D33143" w14:paraId="1EED78B7"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096D8E60" w14:textId="77777777" w:rsidR="00D33143" w:rsidRDefault="00D33143" w:rsidP="003348E2">
            <w:r>
              <w:t>Dologi kiadások</w:t>
            </w:r>
          </w:p>
        </w:tc>
        <w:tc>
          <w:tcPr>
            <w:tcW w:w="2365" w:type="dxa"/>
          </w:tcPr>
          <w:p w14:paraId="4AFBA049"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46,0 Mrd Ft</w:t>
            </w:r>
          </w:p>
        </w:tc>
        <w:tc>
          <w:tcPr>
            <w:tcW w:w="2365" w:type="dxa"/>
          </w:tcPr>
          <w:p w14:paraId="3240FF31"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84,0 Mrd Ft</w:t>
            </w:r>
          </w:p>
        </w:tc>
        <w:tc>
          <w:tcPr>
            <w:tcW w:w="2365" w:type="dxa"/>
          </w:tcPr>
          <w:p w14:paraId="028AB925"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+83%</w:t>
            </w:r>
          </w:p>
        </w:tc>
      </w:tr>
      <w:tr w:rsidR="00D33143" w14:paraId="631FC1D3"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173CC7C5" w14:textId="77777777" w:rsidR="00D33143" w:rsidRDefault="00D33143" w:rsidP="003348E2">
            <w:r>
              <w:t>Egyéb működési kiadások</w:t>
            </w:r>
          </w:p>
        </w:tc>
        <w:tc>
          <w:tcPr>
            <w:tcW w:w="2365" w:type="dxa"/>
          </w:tcPr>
          <w:p w14:paraId="11C89F65"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139,9 Mrd Ft</w:t>
            </w:r>
          </w:p>
        </w:tc>
        <w:tc>
          <w:tcPr>
            <w:tcW w:w="2365" w:type="dxa"/>
          </w:tcPr>
          <w:p w14:paraId="58979C76"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297,3 Mrd Ft</w:t>
            </w:r>
          </w:p>
        </w:tc>
        <w:tc>
          <w:tcPr>
            <w:tcW w:w="2365" w:type="dxa"/>
          </w:tcPr>
          <w:p w14:paraId="4B5A529A"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+113%</w:t>
            </w:r>
          </w:p>
        </w:tc>
      </w:tr>
      <w:tr w:rsidR="00D33143" w14:paraId="45D5BB8D"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545B9A5C" w14:textId="77777777" w:rsidR="00D33143" w:rsidRDefault="00D33143" w:rsidP="003348E2">
            <w:r>
              <w:t>Beruházások</w:t>
            </w:r>
          </w:p>
        </w:tc>
        <w:tc>
          <w:tcPr>
            <w:tcW w:w="2365" w:type="dxa"/>
          </w:tcPr>
          <w:p w14:paraId="593DAC0A"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24,1 Mrd Ft</w:t>
            </w:r>
          </w:p>
        </w:tc>
        <w:tc>
          <w:tcPr>
            <w:tcW w:w="2365" w:type="dxa"/>
          </w:tcPr>
          <w:p w14:paraId="2DFDD5B3"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6,3 Mrd Ft</w:t>
            </w:r>
          </w:p>
        </w:tc>
        <w:tc>
          <w:tcPr>
            <w:tcW w:w="2365" w:type="dxa"/>
          </w:tcPr>
          <w:p w14:paraId="7DFBF43D"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−74%</w:t>
            </w:r>
          </w:p>
        </w:tc>
      </w:tr>
      <w:tr w:rsidR="00D33143" w14:paraId="73520E19"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3388DF93" w14:textId="77777777" w:rsidR="00D33143" w:rsidRDefault="00D33143" w:rsidP="003348E2">
            <w:r>
              <w:t>Felújítások</w:t>
            </w:r>
          </w:p>
        </w:tc>
        <w:tc>
          <w:tcPr>
            <w:tcW w:w="2365" w:type="dxa"/>
          </w:tcPr>
          <w:p w14:paraId="24F5CB98"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12,1 Mrd Ft</w:t>
            </w:r>
          </w:p>
        </w:tc>
        <w:tc>
          <w:tcPr>
            <w:tcW w:w="2365" w:type="dxa"/>
          </w:tcPr>
          <w:p w14:paraId="04903ABF"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6,2 Mrd Ft</w:t>
            </w:r>
          </w:p>
        </w:tc>
        <w:tc>
          <w:tcPr>
            <w:tcW w:w="2365" w:type="dxa"/>
          </w:tcPr>
          <w:p w14:paraId="2C2A7187"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−49%</w:t>
            </w:r>
          </w:p>
        </w:tc>
      </w:tr>
    </w:tbl>
    <w:p w14:paraId="6DB48960" w14:textId="77777777" w:rsidR="00D33143" w:rsidRDefault="00D33143" w:rsidP="00D33143"/>
    <w:p w14:paraId="5B509082" w14:textId="77777777" w:rsidR="00D33143" w:rsidRDefault="00D33143" w:rsidP="00D07F0D">
      <w:pPr>
        <w:jc w:val="both"/>
      </w:pPr>
      <w:r>
        <w:t>A táblázat alapján a legnagyobb százalékos növekedés az egyéb működési kiadásoknál figyelhető meg, míg a beruházások és a felújítások visszaestek. A kiadási főcsoportok eltérő pályája arra utal, hogy a főösszeg növekedése nem egyenletesen érintette a költségvetés valamennyi területét.</w:t>
      </w:r>
    </w:p>
    <w:p w14:paraId="3CC4A4EB" w14:textId="77777777" w:rsidR="00D33143" w:rsidRDefault="00D33143" w:rsidP="00D07F0D">
      <w:pPr>
        <w:jc w:val="both"/>
      </w:pPr>
      <w:r>
        <w:t>A szerkezeti változás értelmezésénél fontos, hogy az „egyéb működési kiadások” gyűjtőjellegű kategóriának tűnik. Ennek valóságban két nagy tétele van az önkormányzati tulajdonban lévő cégek közszolgáltatási szerződés alapján történő finanszírozása, illetve a szolidaritási hozzájárulás fizetési kötelezettség a kormány felé.</w:t>
      </w:r>
    </w:p>
    <w:p w14:paraId="5EF78F1B" w14:textId="170D5998" w:rsidR="00D33143" w:rsidRDefault="00D33143" w:rsidP="00D33143">
      <w:pPr>
        <w:pStyle w:val="Cmsor3"/>
      </w:pPr>
      <w:r>
        <w:t>Személyi juttatások és járulékok</w:t>
      </w:r>
    </w:p>
    <w:p w14:paraId="5A39E070" w14:textId="20EB55D6" w:rsidR="00D33143" w:rsidRDefault="00D33143" w:rsidP="00D07F0D">
      <w:pPr>
        <w:jc w:val="both"/>
      </w:pPr>
      <w:r>
        <w:t>A személyi juttatások 25,4 milliárd forintról 50,5 milliárd forintra emelkedtek, ami 99 százalékos nominális növekedés. Ez megfelel az országos bruttó átlagkereset-változásnak, és kicsivel van felette a közsz</w:t>
      </w:r>
      <w:r w:rsidR="00D07F0D">
        <w:t>f</w:t>
      </w:r>
      <w:r>
        <w:t>éra bérváltozásának.</w:t>
      </w:r>
    </w:p>
    <w:p w14:paraId="79641C86" w14:textId="77777777" w:rsidR="00D33143" w:rsidRDefault="00D33143" w:rsidP="00D07F0D">
      <w:pPr>
        <w:jc w:val="both"/>
      </w:pPr>
      <w:r>
        <w:t>Fontos, hogy a személyi juttatások tétel ebben az esetben kizárólag a költségvetési intézményeket tartalmazza, tehát a gazdasági társaságok nincsenek benne.</w:t>
      </w:r>
    </w:p>
    <w:p w14:paraId="10A739D8" w14:textId="77777777" w:rsidR="00D33143" w:rsidRDefault="00D33143" w:rsidP="00D07F0D">
      <w:pPr>
        <w:jc w:val="both"/>
      </w:pPr>
      <w:r>
        <w:t>Megnéztük, hogy a jutalmak aránya hogyan alakult. A normatív jutalmak és céljuttatások együttes összege a fővárosi intézményrendszerben 2019-ben 2,10 milliárd forint volt, míg 2025-ben 2,83 milliárd forintot tett. Ez nominálisan 34,5%-os növekedésnek felel meg. Ugyanakkor a 2019–2025 közötti kumulált infláció ennél nagyobb volt, ezért a jutalmak és céljuttatások összessége reálértéken mérséklődött, miközben a szerkezet jelentősen átalakult: a normatív jutalmak visszaszorultak, a céljuttatások pedig erősen megnőtt. A jutalmazási rendszer így sokkal inkább teljesítmény- és projektszerű kifizetések felé tolódott el.</w:t>
      </w:r>
    </w:p>
    <w:p w14:paraId="7A62BC00" w14:textId="7F48B5CD" w:rsidR="00D33143" w:rsidRDefault="00D33143" w:rsidP="00D07F0D">
      <w:pPr>
        <w:jc w:val="both"/>
      </w:pPr>
      <w:r>
        <w:t>Területi bontásban az önkormányzati igazgatási területén nem csak reálértéken, hanem nominálisan is csökkent ez az érték. 2019-ben 531 millió forintot költöttek erre, 2025-ben 415 millió forintra csökkent.</w:t>
      </w:r>
    </w:p>
    <w:p w14:paraId="38D35678" w14:textId="7D3822FB" w:rsidR="00D33143" w:rsidRDefault="00D33143" w:rsidP="00D33143">
      <w:pPr>
        <w:pStyle w:val="Cmsor3"/>
      </w:pPr>
      <w:r>
        <w:t>Dologi kiadások</w:t>
      </w:r>
    </w:p>
    <w:p w14:paraId="1EA906D9" w14:textId="77777777" w:rsidR="00D33143" w:rsidRDefault="00D33143" w:rsidP="00D07F0D">
      <w:pPr>
        <w:jc w:val="both"/>
      </w:pPr>
      <w:r>
        <w:t>A költségvetési intézményeknél a dologi kiadások 46 milliárd forintról 84 milliárd forintra emelkedtek, ami 83 százalékos nominális növekedés. A változás értelmezéséhez külön kell kezelni a kamat- és energiajellegű kiadásokat, mivel ezek a költségkörnyezet változására érzékenyek.</w:t>
      </w:r>
    </w:p>
    <w:tbl>
      <w:tblPr>
        <w:tblStyle w:val="Tblzatrcsos1vilgos1jellszn"/>
        <w:tblW w:w="0" w:type="auto"/>
        <w:tblLook w:val="04A0" w:firstRow="1" w:lastRow="0" w:firstColumn="1" w:lastColumn="0" w:noHBand="0" w:noVBand="1"/>
      </w:tblPr>
      <w:tblGrid>
        <w:gridCol w:w="2310"/>
        <w:gridCol w:w="2208"/>
        <w:gridCol w:w="2208"/>
        <w:gridCol w:w="2336"/>
      </w:tblGrid>
      <w:tr w:rsidR="00D33143" w14:paraId="16B671CB" w14:textId="77777777" w:rsidTr="009062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5" w:type="dxa"/>
          </w:tcPr>
          <w:p w14:paraId="5DBB9556" w14:textId="77777777" w:rsidR="00D33143" w:rsidRDefault="00D33143" w:rsidP="003348E2">
            <w:r>
              <w:lastRenderedPageBreak/>
              <w:t>Részterület</w:t>
            </w:r>
          </w:p>
        </w:tc>
        <w:tc>
          <w:tcPr>
            <w:tcW w:w="2365" w:type="dxa"/>
          </w:tcPr>
          <w:p w14:paraId="005CF936"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2019</w:t>
            </w:r>
          </w:p>
        </w:tc>
        <w:tc>
          <w:tcPr>
            <w:tcW w:w="2365" w:type="dxa"/>
          </w:tcPr>
          <w:p w14:paraId="09D12E7D"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2025</w:t>
            </w:r>
          </w:p>
        </w:tc>
        <w:tc>
          <w:tcPr>
            <w:tcW w:w="2365" w:type="dxa"/>
          </w:tcPr>
          <w:p w14:paraId="38F128C9"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Értelmezés a forrás szerint</w:t>
            </w:r>
          </w:p>
        </w:tc>
      </w:tr>
      <w:tr w:rsidR="00D33143" w14:paraId="38A72F5B"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70382793" w14:textId="77777777" w:rsidR="00D33143" w:rsidRDefault="00D33143" w:rsidP="003348E2">
            <w:r>
              <w:t>Kamatkiadások</w:t>
            </w:r>
          </w:p>
        </w:tc>
        <w:tc>
          <w:tcPr>
            <w:tcW w:w="2365" w:type="dxa"/>
          </w:tcPr>
          <w:p w14:paraId="35532066"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1,6 Mrd Ft</w:t>
            </w:r>
          </w:p>
        </w:tc>
        <w:tc>
          <w:tcPr>
            <w:tcW w:w="2365" w:type="dxa"/>
          </w:tcPr>
          <w:p w14:paraId="510EB568"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11,7 Mrd Ft</w:t>
            </w:r>
          </w:p>
        </w:tc>
        <w:tc>
          <w:tcPr>
            <w:tcW w:w="2365" w:type="dxa"/>
          </w:tcPr>
          <w:p w14:paraId="3C523424"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Jelentős növekedés, magas kamatkörnyezethez kötve</w:t>
            </w:r>
          </w:p>
        </w:tc>
      </w:tr>
      <w:tr w:rsidR="00D33143" w14:paraId="687D0B65"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00D08D94" w14:textId="77777777" w:rsidR="00D33143" w:rsidRDefault="00D33143" w:rsidP="003348E2">
            <w:r>
              <w:t>Energia és közüzem</w:t>
            </w:r>
          </w:p>
        </w:tc>
        <w:tc>
          <w:tcPr>
            <w:tcW w:w="2365" w:type="dxa"/>
          </w:tcPr>
          <w:p w14:paraId="5BD4203C"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5,4 Mrd Ft</w:t>
            </w:r>
          </w:p>
        </w:tc>
        <w:tc>
          <w:tcPr>
            <w:tcW w:w="2365" w:type="dxa"/>
          </w:tcPr>
          <w:p w14:paraId="73E583D9"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11,0 Mrd Ft</w:t>
            </w:r>
          </w:p>
        </w:tc>
        <w:tc>
          <w:tcPr>
            <w:tcW w:w="2365" w:type="dxa"/>
          </w:tcPr>
          <w:p w14:paraId="47001045"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Több mint kétszeres nominális összeg</w:t>
            </w:r>
          </w:p>
        </w:tc>
      </w:tr>
      <w:tr w:rsidR="00D33143" w14:paraId="035CC2C4"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202B03DA" w14:textId="77777777" w:rsidR="00D33143" w:rsidRDefault="00D33143" w:rsidP="003348E2">
            <w:r>
              <w:t>Tisztított dologi kiadás</w:t>
            </w:r>
          </w:p>
        </w:tc>
        <w:tc>
          <w:tcPr>
            <w:tcW w:w="2365" w:type="dxa"/>
          </w:tcPr>
          <w:p w14:paraId="2D3F73B9"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38,9 Mrd Ft</w:t>
            </w:r>
          </w:p>
        </w:tc>
        <w:tc>
          <w:tcPr>
            <w:tcW w:w="2365" w:type="dxa"/>
          </w:tcPr>
          <w:p w14:paraId="76475C84"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61,2 Mrd Ft</w:t>
            </w:r>
          </w:p>
        </w:tc>
        <w:tc>
          <w:tcPr>
            <w:tcW w:w="2365" w:type="dxa"/>
          </w:tcPr>
          <w:p w14:paraId="2AB52BC4"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+57% nominálisan</w:t>
            </w:r>
          </w:p>
        </w:tc>
      </w:tr>
    </w:tbl>
    <w:p w14:paraId="00C0CE4C" w14:textId="77777777" w:rsidR="00D33143" w:rsidRDefault="00D33143" w:rsidP="00D33143"/>
    <w:p w14:paraId="4B7E8E7C" w14:textId="25351705" w:rsidR="00D33143" w:rsidRDefault="00D33143" w:rsidP="00D07F0D">
      <w:pPr>
        <w:jc w:val="both"/>
      </w:pPr>
      <w:r>
        <w:t xml:space="preserve">A kamatkiadások 10,1 milliárd forinttal emelkedtek. Ez a változás a magas kamatkörnyezethez (2019-ben 0,9% volt, 2025 végén 6,5%), az éven belüli folyószámlahitel-igénybevételéhez kapcsolódik. Ez utóbbi azért fontos, mivel a rossz önkormányzati finanszírozási rendszer rákényszerítette a települést, hogy külső, átmeneti finanszírozást keressen. Ez pedig jelentős erőforrásokat vitt el akár kötelező vagy önként vállalt feladataitól. </w:t>
      </w:r>
    </w:p>
    <w:p w14:paraId="512D0423" w14:textId="77777777" w:rsidR="00D33143" w:rsidRDefault="00D33143" w:rsidP="00D07F0D">
      <w:pPr>
        <w:jc w:val="both"/>
      </w:pPr>
      <w:r>
        <w:t>Az energia- és közüzemi kiadások 5,4 milliárd forintról 11 milliárd forintra nőttek. A növekedés mögött külső költséghatás azonosítható.</w:t>
      </w:r>
    </w:p>
    <w:p w14:paraId="47048B6E" w14:textId="0DB69535" w:rsidR="00D33143" w:rsidRDefault="00D33143" w:rsidP="00D07F0D">
      <w:pPr>
        <w:jc w:val="both"/>
      </w:pPr>
      <w:r>
        <w:t xml:space="preserve">A kamat- és energiajellegű tételek kiszűrése után a tisztított dologi kiadás 38,9 milliárd forintról </w:t>
      </w:r>
      <w:r w:rsidR="009062EF">
        <w:t xml:space="preserve">(2019. év) </w:t>
      </w:r>
      <w:r>
        <w:t>61,2 milliárd forintra</w:t>
      </w:r>
      <w:r w:rsidR="009062EF">
        <w:t xml:space="preserve"> (2025. év)</w:t>
      </w:r>
      <w:r>
        <w:t xml:space="preserve"> emelkedett. Ez 57 százalékos nominális növekedés, amely az inflációval összevetve </w:t>
      </w:r>
      <w:r w:rsidR="00E205C2">
        <w:t>stagnáló</w:t>
      </w:r>
      <w:r>
        <w:t xml:space="preserve"> pályát </w:t>
      </w:r>
      <w:r w:rsidR="009062EF">
        <w:t>mutat</w:t>
      </w:r>
      <w:r>
        <w:t>.</w:t>
      </w:r>
    </w:p>
    <w:p w14:paraId="1465D733" w14:textId="594204ED" w:rsidR="00D33143" w:rsidRDefault="00D33143" w:rsidP="00D33143">
      <w:pPr>
        <w:pStyle w:val="Cmsor2"/>
      </w:pPr>
      <w:r>
        <w:t>A beruházások, felújítások és karbantartások alakulása</w:t>
      </w:r>
    </w:p>
    <w:p w14:paraId="21FD8A02" w14:textId="77777777" w:rsidR="00D33143" w:rsidRDefault="00D33143" w:rsidP="00D07F0D">
      <w:pPr>
        <w:jc w:val="both"/>
      </w:pPr>
      <w:r>
        <w:t>A fejlesztési és vagyonfenntartási kiadások változása az elemzés egyik központi témája. A beruházások összege 24,1 milliárd forintról 6,3 milliárd forintra csökkent, ami 74 százalékos nominális visszaesés. A felújítások 12,1 milliárd forintról 6,2 milliárd forintra mérséklődtek, 49 százalékos csökkenéssel.</w:t>
      </w:r>
    </w:p>
    <w:tbl>
      <w:tblPr>
        <w:tblStyle w:val="Tblzatrcsos1vilgos1jellszn"/>
        <w:tblW w:w="0" w:type="auto"/>
        <w:tblLook w:val="04A0" w:firstRow="1" w:lastRow="0" w:firstColumn="1" w:lastColumn="0" w:noHBand="0" w:noVBand="1"/>
      </w:tblPr>
      <w:tblGrid>
        <w:gridCol w:w="2303"/>
        <w:gridCol w:w="2239"/>
        <w:gridCol w:w="2239"/>
        <w:gridCol w:w="2281"/>
      </w:tblGrid>
      <w:tr w:rsidR="00D33143" w14:paraId="05FD9752" w14:textId="77777777" w:rsidTr="009062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5" w:type="dxa"/>
          </w:tcPr>
          <w:p w14:paraId="0ED0E649" w14:textId="77777777" w:rsidR="00D33143" w:rsidRDefault="00D33143" w:rsidP="003348E2">
            <w:r>
              <w:t>Kiadás</w:t>
            </w:r>
          </w:p>
        </w:tc>
        <w:tc>
          <w:tcPr>
            <w:tcW w:w="2365" w:type="dxa"/>
          </w:tcPr>
          <w:p w14:paraId="7F1F4759"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2019</w:t>
            </w:r>
          </w:p>
        </w:tc>
        <w:tc>
          <w:tcPr>
            <w:tcW w:w="2365" w:type="dxa"/>
          </w:tcPr>
          <w:p w14:paraId="6E011073"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2025</w:t>
            </w:r>
          </w:p>
        </w:tc>
        <w:tc>
          <w:tcPr>
            <w:tcW w:w="2365" w:type="dxa"/>
          </w:tcPr>
          <w:p w14:paraId="39E0F401" w14:textId="77777777" w:rsidR="00D33143" w:rsidRDefault="00D33143" w:rsidP="003348E2">
            <w:pPr>
              <w:cnfStyle w:val="100000000000" w:firstRow="1" w:lastRow="0" w:firstColumn="0" w:lastColumn="0" w:oddVBand="0" w:evenVBand="0" w:oddHBand="0" w:evenHBand="0" w:firstRowFirstColumn="0" w:firstRowLastColumn="0" w:lastRowFirstColumn="0" w:lastRowLastColumn="0"/>
            </w:pPr>
            <w:r>
              <w:t>Nominális változás</w:t>
            </w:r>
          </w:p>
        </w:tc>
      </w:tr>
      <w:tr w:rsidR="00D33143" w14:paraId="46AC9F21"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6CA2C6CE" w14:textId="77777777" w:rsidR="00D33143" w:rsidRDefault="00D33143" w:rsidP="003348E2">
            <w:r>
              <w:t>Beruházás</w:t>
            </w:r>
          </w:p>
        </w:tc>
        <w:tc>
          <w:tcPr>
            <w:tcW w:w="2365" w:type="dxa"/>
          </w:tcPr>
          <w:p w14:paraId="3BB1B882"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24,1 Mrd Ft</w:t>
            </w:r>
          </w:p>
        </w:tc>
        <w:tc>
          <w:tcPr>
            <w:tcW w:w="2365" w:type="dxa"/>
          </w:tcPr>
          <w:p w14:paraId="2C002DD1"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6,3 Mrd Ft</w:t>
            </w:r>
          </w:p>
        </w:tc>
        <w:tc>
          <w:tcPr>
            <w:tcW w:w="2365" w:type="dxa"/>
          </w:tcPr>
          <w:p w14:paraId="1DEA758F"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−17,8 Mrd Ft; −74%</w:t>
            </w:r>
          </w:p>
        </w:tc>
      </w:tr>
      <w:tr w:rsidR="00D33143" w14:paraId="33F8E009"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676186F5" w14:textId="77777777" w:rsidR="00D33143" w:rsidRDefault="00D33143" w:rsidP="003348E2">
            <w:r>
              <w:t>Felújítás</w:t>
            </w:r>
          </w:p>
        </w:tc>
        <w:tc>
          <w:tcPr>
            <w:tcW w:w="2365" w:type="dxa"/>
          </w:tcPr>
          <w:p w14:paraId="23835A45"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12,1 Mrd Ft</w:t>
            </w:r>
          </w:p>
        </w:tc>
        <w:tc>
          <w:tcPr>
            <w:tcW w:w="2365" w:type="dxa"/>
          </w:tcPr>
          <w:p w14:paraId="012AC6D0"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6,2 Mrd Ft</w:t>
            </w:r>
          </w:p>
        </w:tc>
        <w:tc>
          <w:tcPr>
            <w:tcW w:w="2365" w:type="dxa"/>
          </w:tcPr>
          <w:p w14:paraId="6119C073"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−5,9 Mrd Ft; −49%</w:t>
            </w:r>
          </w:p>
        </w:tc>
      </w:tr>
      <w:tr w:rsidR="00D33143" w14:paraId="3AEB359F" w14:textId="77777777" w:rsidTr="009062EF">
        <w:tc>
          <w:tcPr>
            <w:cnfStyle w:val="001000000000" w:firstRow="0" w:lastRow="0" w:firstColumn="1" w:lastColumn="0" w:oddVBand="0" w:evenVBand="0" w:oddHBand="0" w:evenHBand="0" w:firstRowFirstColumn="0" w:firstRowLastColumn="0" w:lastRowFirstColumn="0" w:lastRowLastColumn="0"/>
            <w:tcW w:w="2365" w:type="dxa"/>
          </w:tcPr>
          <w:p w14:paraId="6DB7798E" w14:textId="77777777" w:rsidR="00D33143" w:rsidRDefault="00D33143" w:rsidP="003348E2">
            <w:r>
              <w:t>Karbantartás</w:t>
            </w:r>
          </w:p>
        </w:tc>
        <w:tc>
          <w:tcPr>
            <w:tcW w:w="2365" w:type="dxa"/>
          </w:tcPr>
          <w:p w14:paraId="32BF36F2"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5,3 Mrd Ft</w:t>
            </w:r>
          </w:p>
        </w:tc>
        <w:tc>
          <w:tcPr>
            <w:tcW w:w="2365" w:type="dxa"/>
          </w:tcPr>
          <w:p w14:paraId="6CABAD37"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2,7 Mrd Ft</w:t>
            </w:r>
          </w:p>
        </w:tc>
        <w:tc>
          <w:tcPr>
            <w:tcW w:w="2365" w:type="dxa"/>
          </w:tcPr>
          <w:p w14:paraId="112105E1" w14:textId="77777777" w:rsidR="00D33143" w:rsidRDefault="00D33143" w:rsidP="003348E2">
            <w:pPr>
              <w:cnfStyle w:val="000000000000" w:firstRow="0" w:lastRow="0" w:firstColumn="0" w:lastColumn="0" w:oddVBand="0" w:evenVBand="0" w:oddHBand="0" w:evenHBand="0" w:firstRowFirstColumn="0" w:firstRowLastColumn="0" w:lastRowFirstColumn="0" w:lastRowLastColumn="0"/>
            </w:pPr>
            <w:r>
              <w:t>−2,6 Mrd Ft; közel −50%</w:t>
            </w:r>
          </w:p>
        </w:tc>
      </w:tr>
    </w:tbl>
    <w:p w14:paraId="2908C6C3" w14:textId="77777777" w:rsidR="00D33143" w:rsidRDefault="00D33143" w:rsidP="00D33143"/>
    <w:p w14:paraId="33C46535" w14:textId="2A12A9CC" w:rsidR="00D33143" w:rsidRDefault="00D33143" w:rsidP="00D07F0D">
      <w:pPr>
        <w:jc w:val="both"/>
      </w:pPr>
      <w:r>
        <w:t>A karbantartási kiadások 5,3 milliárd forintról 2,7 milliárd forintra csökkentek. Ez inflációval korrigálva 66 százalékos visszaesés. Ez arra utal, hogy a fenntartási ráfordítások vásárlóereje lényegesen szűkült.</w:t>
      </w:r>
    </w:p>
    <w:p w14:paraId="106B82C4" w14:textId="77777777" w:rsidR="00D33143" w:rsidRDefault="00D33143" w:rsidP="00D07F0D">
      <w:pPr>
        <w:jc w:val="both"/>
      </w:pPr>
      <w:r>
        <w:t>A beruházási, felújítási és karbantartási adatok együtt a fejlesztési és vagyonmegőrzési tevékenység szűkülését jelzik. A halasztott karbantartás kockázata általánosságban abban áll, hogy az elmaradó kisebb beavatkozások később nagyobb felújítási igényt eredményezhetnek.</w:t>
      </w:r>
    </w:p>
    <w:p w14:paraId="07844AE2" w14:textId="326902C0" w:rsidR="00D33143" w:rsidRDefault="00D33143" w:rsidP="00D33143">
      <w:pPr>
        <w:pStyle w:val="Cmsor2"/>
      </w:pPr>
      <w:r>
        <w:t>Az önkormányzati társaságok és a közösségi közlekedés finanszírozása</w:t>
      </w:r>
    </w:p>
    <w:p w14:paraId="793983FC" w14:textId="77777777" w:rsidR="00D33143" w:rsidRDefault="00D33143" w:rsidP="00D07F0D">
      <w:pPr>
        <w:jc w:val="both"/>
      </w:pPr>
      <w:r>
        <w:t xml:space="preserve">Az egyéb működési célú kiadások 2019 és 2025 között látszólag több mint megduplázódtak, 139,9 milliárd forintról 297,3 milliárd forintra emelkedtek. A növekedés döntő részét azonban a szolidaritási hozzájárulás rendkívül jelentős növekedése okozta, amely 10 milliárd forintról 92,8 </w:t>
      </w:r>
      <w:r>
        <w:lastRenderedPageBreak/>
        <w:t>milliárd forintra emelkedett. E tétel kiszűrésével az egyéb működési kiadások 129,9 milliárd forintról 204,5 milliárd forintra nőttek, ami 57,4%-os nominális bővülést jelent.</w:t>
      </w:r>
    </w:p>
    <w:p w14:paraId="2E894A1E" w14:textId="77777777" w:rsidR="00D33143" w:rsidRDefault="00D33143" w:rsidP="00D07F0D">
      <w:pPr>
        <w:jc w:val="both"/>
      </w:pPr>
      <w:r>
        <w:t>Inflációval korrigálva ugyanakkor a szolidaritási hozzájárulástól megtisztított kiadások már nem mutatnak növekedést: reálértéken enyhe visszaesés figyelhető meg. Ez arra utal, hogy az egyéb működési kiadások összegének emelkedése elsősorban nem a fővárosi szolgáltatások vagy támogatási rendszerek bővüléséből, hanem a központi költségvetés felé teljesített befizetési kötelezettség drasztikus növekedéséből fakadt. A szerkezeti változás legfontosabb eleme tehát az, hogy a szolidaritási hozzájárulás az egyéb működési kiadásokon belül 2019-ben még mintegy 7%-os, 2025-ben viszont már meghaladta a 31%-os arányt.</w:t>
      </w:r>
    </w:p>
    <w:p w14:paraId="63ED2635" w14:textId="649EFA62" w:rsidR="00D33143" w:rsidRDefault="00D33143" w:rsidP="00D07F0D">
      <w:pPr>
        <w:jc w:val="both"/>
      </w:pPr>
      <w:r>
        <w:t xml:space="preserve">Azt is hozzá kell tenni, hogy az önkormányzati tulajdonú társaságok támogatása esetében nem az inflációval kell korrigálni az adatokat. Korábban jeleztük, hogy ehhez szükség van arra is, hogy a bérek változását is 50%-os súlyozással figyelembe vegyük. Ez alapján már reálértékcsökkenés látható az adatokban −25%-os mértékben. </w:t>
      </w:r>
      <w:r w:rsidR="009062EF"/>
      <w:r/>
    </w:p>
    <w:p w14:paraId="1BDF99C5" w14:textId="1AA1674F" w:rsidR="00D33143" w:rsidRDefault="00D33143" w:rsidP="00D07F0D">
      <w:pPr>
        <w:jc w:val="both"/>
      </w:pPr>
      <w:r>
        <w:t xml:space="preserve">Amennyiben ezt a forrást biztosította volna az önkormányzat, akkor a kiadási főösszeg </w:t>
      </w:r>
      <w:r w:rsidR="009062EF">
        <w:t>31</w:t>
      </w:r>
      <w:r>
        <w:t xml:space="preserve"> milliárd forinttal lett volna nagyobb. Ezt hatékonyságjavítással nem lehet elérni, ezért két tétellel volt csak biztosítható ez az összeg. Egyrészt a korábban említett követelésértékesítéssel a valódi szerkezete a közösségi közlekedés finanszírozásának így nézett ki:</w:t>
      </w:r>
    </w:p>
    <w:p w14:paraId="3BBB1637" w14:textId="77777777" w:rsidR="00D33143" w:rsidRDefault="00D33143" w:rsidP="00D33143"/>
    <w:tbl>
      <w:tblPr>
        <w:tblW w:w="5000" w:type="pct"/>
        <w:tblCellMar>
          <w:left w:w="70" w:type="dxa"/>
          <w:right w:w="70" w:type="dxa"/>
        </w:tblCellMar>
        <w:tblLook w:val="04A0" w:firstRow="1" w:lastRow="0" w:firstColumn="1" w:lastColumn="0" w:noHBand="0" w:noVBand="1"/>
      </w:tblPr>
      <w:tblGrid>
        <w:gridCol w:w="5945"/>
        <w:gridCol w:w="1322"/>
        <w:gridCol w:w="1785"/>
      </w:tblGrid>
      <w:tr w:rsidR="00D33143" w:rsidRPr="009F53E5" w14:paraId="3F38A8E6" w14:textId="77777777" w:rsidTr="003348E2">
        <w:trPr>
          <w:trHeight w:val="300"/>
        </w:trPr>
        <w:tc>
          <w:tcPr>
            <w:tcW w:w="3406" w:type="pct"/>
            <w:tcBorders>
              <w:top w:val="single" w:sz="8" w:space="0" w:color="BFBFBF"/>
              <w:left w:val="single" w:sz="8" w:space="0" w:color="BFBFBF"/>
              <w:bottom w:val="single" w:sz="4" w:space="0" w:color="BFBFBF"/>
              <w:right w:val="single" w:sz="4" w:space="0" w:color="BFBFBF"/>
            </w:tcBorders>
            <w:shd w:val="clear" w:color="000000" w:fill="7030A0"/>
            <w:noWrap/>
            <w:vAlign w:val="bottom"/>
            <w:hideMark/>
          </w:tcPr>
          <w:p w14:paraId="5B9985EC" w14:textId="77777777" w:rsidR="00D33143" w:rsidRPr="009F53E5" w:rsidRDefault="00D33143" w:rsidP="003348E2">
            <w:pPr>
              <w:spacing w:after="0" w:line="240" w:lineRule="auto"/>
              <w:rPr>
                <w:rFonts w:ascii="Aptos Narrow" w:eastAsia="Times New Roman" w:hAnsi="Aptos Narrow" w:cs="Times New Roman"/>
                <w:b/>
                <w:bCs/>
                <w:color w:val="FFFFFF"/>
                <w:lang w:eastAsia="hu-HU"/>
              </w:rPr>
            </w:pPr>
            <w:r w:rsidRPr="009F53E5">
              <w:rPr>
                <w:rFonts w:ascii="Aptos Narrow" w:eastAsia="Times New Roman" w:hAnsi="Aptos Narrow" w:cs="Times New Roman"/>
                <w:b/>
                <w:bCs/>
                <w:color w:val="FFFFFF"/>
                <w:lang w:eastAsia="hu-HU"/>
              </w:rPr>
              <w:t>Támogatások beérkezése pénzforgalmi szemlélet (ezer Ft)</w:t>
            </w:r>
          </w:p>
        </w:tc>
        <w:tc>
          <w:tcPr>
            <w:tcW w:w="853" w:type="pct"/>
            <w:tcBorders>
              <w:top w:val="single" w:sz="8" w:space="0" w:color="BFBFBF"/>
              <w:left w:val="nil"/>
              <w:bottom w:val="single" w:sz="4" w:space="0" w:color="BFBFBF"/>
              <w:right w:val="single" w:sz="4" w:space="0" w:color="BFBFBF"/>
            </w:tcBorders>
            <w:shd w:val="clear" w:color="000000" w:fill="7030A0"/>
            <w:noWrap/>
            <w:vAlign w:val="bottom"/>
            <w:hideMark/>
          </w:tcPr>
          <w:p w14:paraId="2BB3861A" w14:textId="77777777" w:rsidR="00D33143" w:rsidRPr="009F53E5" w:rsidRDefault="00D33143" w:rsidP="003348E2">
            <w:pPr>
              <w:spacing w:after="0" w:line="240" w:lineRule="auto"/>
              <w:jc w:val="center"/>
              <w:rPr>
                <w:rFonts w:ascii="Aptos Narrow" w:eastAsia="Times New Roman" w:hAnsi="Aptos Narrow" w:cs="Times New Roman"/>
                <w:b/>
                <w:bCs/>
                <w:color w:val="FFFFFF"/>
                <w:lang w:eastAsia="hu-HU"/>
              </w:rPr>
            </w:pPr>
            <w:r w:rsidRPr="009F53E5">
              <w:rPr>
                <w:rFonts w:ascii="Aptos Narrow" w:eastAsia="Times New Roman" w:hAnsi="Aptos Narrow" w:cs="Times New Roman"/>
                <w:b/>
                <w:bCs/>
                <w:color w:val="FFFFFF"/>
                <w:lang w:eastAsia="hu-HU"/>
              </w:rPr>
              <w:t>2024</w:t>
            </w:r>
          </w:p>
        </w:tc>
        <w:tc>
          <w:tcPr>
            <w:tcW w:w="740" w:type="pct"/>
            <w:tcBorders>
              <w:top w:val="single" w:sz="8" w:space="0" w:color="BFBFBF"/>
              <w:left w:val="nil"/>
              <w:bottom w:val="single" w:sz="4" w:space="0" w:color="BFBFBF"/>
              <w:right w:val="single" w:sz="8" w:space="0" w:color="BFBFBF"/>
            </w:tcBorders>
            <w:shd w:val="clear" w:color="000000" w:fill="7030A0"/>
            <w:noWrap/>
            <w:vAlign w:val="bottom"/>
            <w:hideMark/>
          </w:tcPr>
          <w:p w14:paraId="212C6558" w14:textId="77777777" w:rsidR="00D33143" w:rsidRPr="009F53E5" w:rsidRDefault="00D33143" w:rsidP="003348E2">
            <w:pPr>
              <w:spacing w:after="0" w:line="240" w:lineRule="auto"/>
              <w:jc w:val="center"/>
              <w:rPr>
                <w:rFonts w:ascii="Aptos Narrow" w:eastAsia="Times New Roman" w:hAnsi="Aptos Narrow" w:cs="Times New Roman"/>
                <w:b/>
                <w:bCs/>
                <w:color w:val="FFFFFF"/>
                <w:lang w:eastAsia="hu-HU"/>
              </w:rPr>
            </w:pPr>
            <w:r w:rsidRPr="009F53E5">
              <w:rPr>
                <w:rFonts w:ascii="Aptos Narrow" w:eastAsia="Times New Roman" w:hAnsi="Aptos Narrow" w:cs="Times New Roman"/>
                <w:b/>
                <w:bCs/>
                <w:color w:val="FFFFFF"/>
                <w:lang w:eastAsia="hu-HU"/>
              </w:rPr>
              <w:t>2025</w:t>
            </w:r>
          </w:p>
        </w:tc>
      </w:tr>
      <w:tr w:rsidR="00D33143" w:rsidRPr="009F53E5" w14:paraId="0FEF71B2" w14:textId="77777777" w:rsidTr="003348E2">
        <w:trPr>
          <w:trHeight w:val="300"/>
        </w:trPr>
        <w:tc>
          <w:tcPr>
            <w:tcW w:w="3406" w:type="pct"/>
            <w:tcBorders>
              <w:top w:val="nil"/>
              <w:left w:val="single" w:sz="8" w:space="0" w:color="BFBFBF"/>
              <w:bottom w:val="single" w:sz="4" w:space="0" w:color="BFBFBF"/>
              <w:right w:val="single" w:sz="4" w:space="0" w:color="BFBFBF"/>
            </w:tcBorders>
            <w:shd w:val="clear" w:color="auto" w:fill="auto"/>
            <w:noWrap/>
            <w:vAlign w:val="center"/>
            <w:hideMark/>
          </w:tcPr>
          <w:p w14:paraId="7BB467C7" w14:textId="77777777" w:rsidR="00D33143" w:rsidRPr="009F53E5" w:rsidRDefault="00D33143" w:rsidP="003348E2">
            <w:pPr>
              <w:spacing w:after="0" w:line="240" w:lineRule="auto"/>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Közlekedésszervezői forrás közvetlenül Fővárostól</w:t>
            </w:r>
          </w:p>
        </w:tc>
        <w:tc>
          <w:tcPr>
            <w:tcW w:w="853" w:type="pct"/>
            <w:tcBorders>
              <w:top w:val="nil"/>
              <w:left w:val="nil"/>
              <w:bottom w:val="single" w:sz="4" w:space="0" w:color="BFBFBF"/>
              <w:right w:val="single" w:sz="4" w:space="0" w:color="BFBFBF"/>
            </w:tcBorders>
            <w:shd w:val="clear" w:color="auto" w:fill="auto"/>
            <w:noWrap/>
            <w:vAlign w:val="center"/>
            <w:hideMark/>
          </w:tcPr>
          <w:p w14:paraId="52FE3088" w14:textId="77777777" w:rsidR="00D33143"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                       </w:t>
            </w:r>
          </w:p>
          <w:p w14:paraId="7C98B954" w14:textId="77777777" w:rsidR="00D33143" w:rsidRPr="009F53E5" w:rsidRDefault="00D33143" w:rsidP="00D33143">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102 979 588 </w:t>
            </w:r>
          </w:p>
        </w:tc>
        <w:tc>
          <w:tcPr>
            <w:tcW w:w="740" w:type="pct"/>
            <w:tcBorders>
              <w:top w:val="nil"/>
              <w:left w:val="nil"/>
              <w:bottom w:val="single" w:sz="4" w:space="0" w:color="BFBFBF"/>
              <w:right w:val="single" w:sz="8" w:space="0" w:color="BFBFBF"/>
            </w:tcBorders>
            <w:shd w:val="clear" w:color="auto" w:fill="auto"/>
            <w:noWrap/>
            <w:vAlign w:val="center"/>
            <w:hideMark/>
          </w:tcPr>
          <w:p w14:paraId="0A0AC940" w14:textId="77777777" w:rsidR="00D33143" w:rsidRDefault="00D33143" w:rsidP="003348E2">
            <w:pPr>
              <w:spacing w:after="0" w:line="240" w:lineRule="auto"/>
              <w:jc w:val="center"/>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                </w:t>
            </w:r>
          </w:p>
          <w:p w14:paraId="5AD747EF" w14:textId="77777777"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105 721 695 </w:t>
            </w:r>
          </w:p>
        </w:tc>
      </w:tr>
      <w:tr w:rsidR="00D33143" w:rsidRPr="009F53E5" w14:paraId="161E2DEF" w14:textId="77777777" w:rsidTr="003348E2">
        <w:trPr>
          <w:trHeight w:val="300"/>
        </w:trPr>
        <w:tc>
          <w:tcPr>
            <w:tcW w:w="3406" w:type="pct"/>
            <w:tcBorders>
              <w:top w:val="nil"/>
              <w:left w:val="single" w:sz="8" w:space="0" w:color="BFBFBF"/>
              <w:bottom w:val="single" w:sz="4" w:space="0" w:color="BFBFBF"/>
              <w:right w:val="single" w:sz="4" w:space="0" w:color="BFBFBF"/>
            </w:tcBorders>
            <w:shd w:val="clear" w:color="auto" w:fill="auto"/>
            <w:noWrap/>
            <w:vAlign w:val="center"/>
            <w:hideMark/>
          </w:tcPr>
          <w:p w14:paraId="6FE97348" w14:textId="77777777" w:rsidR="00D33143" w:rsidRPr="009F53E5" w:rsidRDefault="00D33143" w:rsidP="003348E2">
            <w:pPr>
              <w:spacing w:after="0" w:line="240" w:lineRule="auto"/>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Közútkezelés és taxi-ellenőrzés forrás közvetlenül a Fővárostól</w:t>
            </w:r>
          </w:p>
        </w:tc>
        <w:tc>
          <w:tcPr>
            <w:tcW w:w="853" w:type="pct"/>
            <w:tcBorders>
              <w:top w:val="nil"/>
              <w:left w:val="nil"/>
              <w:bottom w:val="single" w:sz="4" w:space="0" w:color="BFBFBF"/>
              <w:right w:val="single" w:sz="4" w:space="0" w:color="BFBFBF"/>
            </w:tcBorders>
            <w:shd w:val="clear" w:color="auto" w:fill="auto"/>
            <w:noWrap/>
            <w:vAlign w:val="bottom"/>
            <w:hideMark/>
          </w:tcPr>
          <w:p w14:paraId="69F88525" w14:textId="55992316"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1 299 081 </w:t>
            </w:r>
          </w:p>
        </w:tc>
        <w:tc>
          <w:tcPr>
            <w:tcW w:w="740" w:type="pct"/>
            <w:tcBorders>
              <w:top w:val="nil"/>
              <w:left w:val="nil"/>
              <w:bottom w:val="single" w:sz="4" w:space="0" w:color="BFBFBF"/>
              <w:right w:val="single" w:sz="8" w:space="0" w:color="BFBFBF"/>
            </w:tcBorders>
            <w:shd w:val="clear" w:color="auto" w:fill="auto"/>
            <w:noWrap/>
            <w:vAlign w:val="bottom"/>
            <w:hideMark/>
          </w:tcPr>
          <w:p w14:paraId="7E18BD2C" w14:textId="36708AFE"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1 547 753 </w:t>
            </w:r>
          </w:p>
        </w:tc>
      </w:tr>
      <w:tr w:rsidR="00D33143" w:rsidRPr="009F53E5" w14:paraId="78624175" w14:textId="77777777" w:rsidTr="003348E2">
        <w:trPr>
          <w:trHeight w:val="300"/>
        </w:trPr>
        <w:tc>
          <w:tcPr>
            <w:tcW w:w="3406" w:type="pct"/>
            <w:tcBorders>
              <w:top w:val="nil"/>
              <w:left w:val="single" w:sz="8" w:space="0" w:color="BFBFBF"/>
              <w:bottom w:val="single" w:sz="4" w:space="0" w:color="BFBFBF"/>
              <w:right w:val="single" w:sz="4" w:space="0" w:color="BFBFBF"/>
            </w:tcBorders>
            <w:shd w:val="clear" w:color="auto" w:fill="auto"/>
            <w:noWrap/>
            <w:vAlign w:val="center"/>
            <w:hideMark/>
          </w:tcPr>
          <w:p w14:paraId="1ED4E180" w14:textId="77777777" w:rsidR="00D33143" w:rsidRPr="009F53E5" w:rsidRDefault="00D33143" w:rsidP="003348E2">
            <w:pPr>
              <w:spacing w:after="0" w:line="240" w:lineRule="auto"/>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Külső forrásbevonás</w:t>
            </w:r>
          </w:p>
        </w:tc>
        <w:tc>
          <w:tcPr>
            <w:tcW w:w="853" w:type="pct"/>
            <w:tcBorders>
              <w:top w:val="nil"/>
              <w:left w:val="nil"/>
              <w:bottom w:val="single" w:sz="4" w:space="0" w:color="BFBFBF"/>
              <w:right w:val="single" w:sz="4" w:space="0" w:color="BFBFBF"/>
            </w:tcBorders>
            <w:shd w:val="clear" w:color="auto" w:fill="auto"/>
            <w:noWrap/>
            <w:vAlign w:val="center"/>
            <w:hideMark/>
          </w:tcPr>
          <w:p w14:paraId="67DB9D66" w14:textId="77777777"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w:t>
            </w:r>
          </w:p>
        </w:tc>
        <w:tc>
          <w:tcPr>
            <w:tcW w:w="740" w:type="pct"/>
            <w:tcBorders>
              <w:top w:val="nil"/>
              <w:left w:val="nil"/>
              <w:bottom w:val="single" w:sz="4" w:space="0" w:color="BFBFBF"/>
              <w:right w:val="single" w:sz="8" w:space="0" w:color="BFBFBF"/>
            </w:tcBorders>
            <w:shd w:val="clear" w:color="auto" w:fill="auto"/>
            <w:noWrap/>
            <w:vAlign w:val="center"/>
            <w:hideMark/>
          </w:tcPr>
          <w:p w14:paraId="6F325135" w14:textId="77777777"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w:t>
            </w:r>
          </w:p>
        </w:tc>
      </w:tr>
      <w:tr w:rsidR="00D33143" w:rsidRPr="009F53E5" w14:paraId="66E8352D" w14:textId="77777777" w:rsidTr="003348E2">
        <w:trPr>
          <w:trHeight w:val="300"/>
        </w:trPr>
        <w:tc>
          <w:tcPr>
            <w:tcW w:w="3406" w:type="pct"/>
            <w:tcBorders>
              <w:top w:val="nil"/>
              <w:left w:val="single" w:sz="8" w:space="0" w:color="BFBFBF"/>
              <w:bottom w:val="single" w:sz="4" w:space="0" w:color="BFBFBF"/>
              <w:right w:val="single" w:sz="4" w:space="0" w:color="BFBFBF"/>
            </w:tcBorders>
            <w:shd w:val="clear" w:color="auto" w:fill="auto"/>
            <w:vAlign w:val="center"/>
            <w:hideMark/>
          </w:tcPr>
          <w:p w14:paraId="6C761239" w14:textId="77777777" w:rsidR="00D33143" w:rsidRPr="009F53E5" w:rsidRDefault="00D33143" w:rsidP="003348E2">
            <w:pPr>
              <w:spacing w:after="0" w:line="240" w:lineRule="auto"/>
              <w:ind w:firstLineChars="200" w:firstLine="440"/>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BKK Fővárossal szembeni követelésértékesítése - BKK-hoz beérkezett a pénz a banktól</w:t>
            </w:r>
          </w:p>
        </w:tc>
        <w:tc>
          <w:tcPr>
            <w:tcW w:w="853" w:type="pct"/>
            <w:tcBorders>
              <w:top w:val="nil"/>
              <w:left w:val="nil"/>
              <w:bottom w:val="single" w:sz="4" w:space="0" w:color="BFBFBF"/>
              <w:right w:val="single" w:sz="4" w:space="0" w:color="BFBFBF"/>
            </w:tcBorders>
            <w:shd w:val="clear" w:color="auto" w:fill="auto"/>
            <w:noWrap/>
            <w:vAlign w:val="center"/>
            <w:hideMark/>
          </w:tcPr>
          <w:p w14:paraId="08A60421" w14:textId="5A42F40B"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50 000 000 </w:t>
            </w:r>
          </w:p>
        </w:tc>
        <w:tc>
          <w:tcPr>
            <w:tcW w:w="740" w:type="pct"/>
            <w:tcBorders>
              <w:top w:val="nil"/>
              <w:left w:val="nil"/>
              <w:bottom w:val="single" w:sz="4" w:space="0" w:color="BFBFBF"/>
              <w:right w:val="single" w:sz="8" w:space="0" w:color="BFBFBF"/>
            </w:tcBorders>
            <w:shd w:val="clear" w:color="auto" w:fill="auto"/>
            <w:noWrap/>
            <w:vAlign w:val="center"/>
            <w:hideMark/>
          </w:tcPr>
          <w:p w14:paraId="63F91D5C" w14:textId="77777777"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w:t>
            </w:r>
          </w:p>
        </w:tc>
      </w:tr>
      <w:tr w:rsidR="00D33143" w:rsidRPr="009F53E5" w14:paraId="1453834F" w14:textId="77777777" w:rsidTr="003348E2">
        <w:trPr>
          <w:trHeight w:val="300"/>
        </w:trPr>
        <w:tc>
          <w:tcPr>
            <w:tcW w:w="3406" w:type="pct"/>
            <w:tcBorders>
              <w:top w:val="nil"/>
              <w:left w:val="single" w:sz="8" w:space="0" w:color="BFBFBF"/>
              <w:bottom w:val="single" w:sz="4" w:space="0" w:color="BFBFBF"/>
              <w:right w:val="single" w:sz="4" w:space="0" w:color="BFBFBF"/>
            </w:tcBorders>
            <w:shd w:val="clear" w:color="auto" w:fill="auto"/>
            <w:vAlign w:val="center"/>
            <w:hideMark/>
          </w:tcPr>
          <w:p w14:paraId="754CE89E" w14:textId="77777777" w:rsidR="00D33143" w:rsidRPr="009F53E5" w:rsidRDefault="00D33143" w:rsidP="003348E2">
            <w:pPr>
              <w:spacing w:after="0" w:line="240" w:lineRule="auto"/>
              <w:ind w:firstLineChars="200" w:firstLine="440"/>
              <w:rPr>
                <w:rFonts w:ascii="Aptos Narrow" w:eastAsia="Times New Roman" w:hAnsi="Aptos Narrow" w:cs="Times New Roman"/>
                <w:color w:val="000000"/>
                <w:lang w:eastAsia="hu-HU"/>
              </w:rPr>
            </w:pPr>
            <w:proofErr w:type="spellStart"/>
            <w:r w:rsidRPr="009F53E5">
              <w:rPr>
                <w:rFonts w:ascii="Aptos Narrow" w:eastAsia="Times New Roman" w:hAnsi="Aptos Narrow" w:cs="Times New Roman"/>
                <w:color w:val="000000"/>
                <w:lang w:eastAsia="hu-HU"/>
              </w:rPr>
              <w:t>ArrivaBus</w:t>
            </w:r>
            <w:proofErr w:type="spellEnd"/>
            <w:r w:rsidRPr="009F53E5">
              <w:rPr>
                <w:rFonts w:ascii="Aptos Narrow" w:eastAsia="Times New Roman" w:hAnsi="Aptos Narrow" w:cs="Times New Roman"/>
                <w:color w:val="000000"/>
                <w:lang w:eastAsia="hu-HU"/>
              </w:rPr>
              <w:t xml:space="preserve"> követelésértékesítés</w:t>
            </w:r>
          </w:p>
        </w:tc>
        <w:tc>
          <w:tcPr>
            <w:tcW w:w="853" w:type="pct"/>
            <w:tcBorders>
              <w:top w:val="nil"/>
              <w:left w:val="nil"/>
              <w:bottom w:val="single" w:sz="4" w:space="0" w:color="BFBFBF"/>
              <w:right w:val="single" w:sz="4" w:space="0" w:color="BFBFBF"/>
            </w:tcBorders>
            <w:shd w:val="clear" w:color="auto" w:fill="auto"/>
            <w:noWrap/>
            <w:vAlign w:val="center"/>
            <w:hideMark/>
          </w:tcPr>
          <w:p w14:paraId="2284FD78" w14:textId="77777777"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w:t>
            </w:r>
          </w:p>
        </w:tc>
        <w:tc>
          <w:tcPr>
            <w:tcW w:w="740" w:type="pct"/>
            <w:tcBorders>
              <w:top w:val="nil"/>
              <w:left w:val="nil"/>
              <w:bottom w:val="single" w:sz="4" w:space="0" w:color="BFBFBF"/>
              <w:right w:val="single" w:sz="8" w:space="0" w:color="BFBFBF"/>
            </w:tcBorders>
            <w:shd w:val="clear" w:color="auto" w:fill="auto"/>
            <w:noWrap/>
            <w:vAlign w:val="center"/>
            <w:hideMark/>
          </w:tcPr>
          <w:p w14:paraId="62FCB909" w14:textId="6EE3DBB4"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8 947 000 </w:t>
            </w:r>
          </w:p>
        </w:tc>
      </w:tr>
      <w:tr w:rsidR="00D33143" w:rsidRPr="009F53E5" w14:paraId="5EE0F493" w14:textId="77777777" w:rsidTr="003348E2">
        <w:trPr>
          <w:trHeight w:val="300"/>
        </w:trPr>
        <w:tc>
          <w:tcPr>
            <w:tcW w:w="3406" w:type="pct"/>
            <w:tcBorders>
              <w:top w:val="nil"/>
              <w:left w:val="single" w:sz="8" w:space="0" w:color="BFBFBF"/>
              <w:bottom w:val="single" w:sz="4" w:space="0" w:color="BFBFBF"/>
              <w:right w:val="single" w:sz="4" w:space="0" w:color="BFBFBF"/>
            </w:tcBorders>
            <w:shd w:val="clear" w:color="auto" w:fill="auto"/>
            <w:vAlign w:val="center"/>
            <w:hideMark/>
          </w:tcPr>
          <w:p w14:paraId="62E13CE6" w14:textId="77777777" w:rsidR="00D33143" w:rsidRPr="009F53E5" w:rsidRDefault="00D33143" w:rsidP="003348E2">
            <w:pPr>
              <w:spacing w:after="0" w:line="240" w:lineRule="auto"/>
              <w:ind w:firstLineChars="200" w:firstLine="440"/>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Szállítói halasztás</w:t>
            </w:r>
          </w:p>
        </w:tc>
        <w:tc>
          <w:tcPr>
            <w:tcW w:w="853" w:type="pct"/>
            <w:tcBorders>
              <w:top w:val="nil"/>
              <w:left w:val="nil"/>
              <w:bottom w:val="single" w:sz="4" w:space="0" w:color="BFBFBF"/>
              <w:right w:val="single" w:sz="4" w:space="0" w:color="BFBFBF"/>
            </w:tcBorders>
            <w:shd w:val="clear" w:color="auto" w:fill="auto"/>
            <w:noWrap/>
            <w:vAlign w:val="center"/>
            <w:hideMark/>
          </w:tcPr>
          <w:p w14:paraId="75EA1D2A" w14:textId="3052242F"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3 981 000 </w:t>
            </w:r>
          </w:p>
        </w:tc>
        <w:tc>
          <w:tcPr>
            <w:tcW w:w="740" w:type="pct"/>
            <w:tcBorders>
              <w:top w:val="nil"/>
              <w:left w:val="nil"/>
              <w:bottom w:val="single" w:sz="4" w:space="0" w:color="BFBFBF"/>
              <w:right w:val="single" w:sz="8" w:space="0" w:color="BFBFBF"/>
            </w:tcBorders>
            <w:shd w:val="clear" w:color="auto" w:fill="auto"/>
            <w:noWrap/>
            <w:vAlign w:val="center"/>
            <w:hideMark/>
          </w:tcPr>
          <w:p w14:paraId="316DDDC1" w14:textId="36BA907B"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                   4 589 000 </w:t>
            </w:r>
          </w:p>
        </w:tc>
      </w:tr>
      <w:tr w:rsidR="00D33143" w:rsidRPr="009F53E5" w14:paraId="3E706DE3" w14:textId="77777777" w:rsidTr="003348E2">
        <w:trPr>
          <w:trHeight w:val="300"/>
        </w:trPr>
        <w:tc>
          <w:tcPr>
            <w:tcW w:w="3406" w:type="pct"/>
            <w:tcBorders>
              <w:top w:val="nil"/>
              <w:left w:val="single" w:sz="8" w:space="0" w:color="BFBFBF"/>
              <w:bottom w:val="nil"/>
              <w:right w:val="single" w:sz="4" w:space="0" w:color="BFBFBF"/>
            </w:tcBorders>
            <w:shd w:val="clear" w:color="auto" w:fill="auto"/>
            <w:vAlign w:val="center"/>
            <w:hideMark/>
          </w:tcPr>
          <w:p w14:paraId="7713A5D5" w14:textId="77777777" w:rsidR="00D33143" w:rsidRPr="009F53E5" w:rsidRDefault="00D33143" w:rsidP="003348E2">
            <w:pPr>
              <w:spacing w:after="0" w:line="240" w:lineRule="auto"/>
              <w:ind w:firstLineChars="200" w:firstLine="440"/>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BKV követelésértékesítés</w:t>
            </w:r>
          </w:p>
        </w:tc>
        <w:tc>
          <w:tcPr>
            <w:tcW w:w="853" w:type="pct"/>
            <w:tcBorders>
              <w:top w:val="nil"/>
              <w:left w:val="nil"/>
              <w:bottom w:val="nil"/>
              <w:right w:val="single" w:sz="4" w:space="0" w:color="BFBFBF"/>
            </w:tcBorders>
            <w:shd w:val="clear" w:color="auto" w:fill="auto"/>
            <w:noWrap/>
            <w:vAlign w:val="center"/>
            <w:hideMark/>
          </w:tcPr>
          <w:p w14:paraId="47CDD4F0" w14:textId="77777777"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w:t>
            </w:r>
          </w:p>
        </w:tc>
        <w:tc>
          <w:tcPr>
            <w:tcW w:w="740" w:type="pct"/>
            <w:tcBorders>
              <w:top w:val="nil"/>
              <w:left w:val="nil"/>
              <w:bottom w:val="nil"/>
              <w:right w:val="single" w:sz="8" w:space="0" w:color="BFBFBF"/>
            </w:tcBorders>
            <w:shd w:val="clear" w:color="auto" w:fill="auto"/>
            <w:noWrap/>
            <w:vAlign w:val="center"/>
            <w:hideMark/>
          </w:tcPr>
          <w:p w14:paraId="3E6EDF11" w14:textId="6C20FC4B" w:rsidR="00D33143" w:rsidRPr="009F53E5" w:rsidRDefault="00D33143" w:rsidP="003348E2">
            <w:pPr>
              <w:spacing w:after="0" w:line="240" w:lineRule="auto"/>
              <w:jc w:val="right"/>
              <w:rPr>
                <w:rFonts w:ascii="Aptos Narrow" w:eastAsia="Times New Roman" w:hAnsi="Aptos Narrow" w:cs="Times New Roman"/>
                <w:color w:val="000000"/>
                <w:lang w:eastAsia="hu-HU"/>
              </w:rPr>
            </w:pPr>
            <w:r w:rsidRPr="009F53E5">
              <w:rPr>
                <w:rFonts w:ascii="Aptos Narrow" w:eastAsia="Times New Roman" w:hAnsi="Aptos Narrow" w:cs="Times New Roman"/>
                <w:color w:val="000000"/>
                <w:lang w:eastAsia="hu-HU"/>
              </w:rPr>
              <w:t xml:space="preserve">              65 000 000 </w:t>
            </w:r>
          </w:p>
        </w:tc>
      </w:tr>
      <w:tr w:rsidR="00D33143" w:rsidRPr="009F53E5" w14:paraId="05B715B2" w14:textId="77777777" w:rsidTr="003348E2">
        <w:trPr>
          <w:trHeight w:val="315"/>
        </w:trPr>
        <w:tc>
          <w:tcPr>
            <w:tcW w:w="3406" w:type="pct"/>
            <w:tcBorders>
              <w:top w:val="single" w:sz="4" w:space="0" w:color="BFBFBF"/>
              <w:left w:val="single" w:sz="8" w:space="0" w:color="BFBFBF"/>
              <w:bottom w:val="single" w:sz="8" w:space="0" w:color="BFBFBF"/>
              <w:right w:val="single" w:sz="4" w:space="0" w:color="BFBFBF"/>
            </w:tcBorders>
            <w:shd w:val="clear" w:color="000000" w:fill="7030A0"/>
            <w:vAlign w:val="center"/>
            <w:hideMark/>
          </w:tcPr>
          <w:p w14:paraId="7A3467B7" w14:textId="77777777" w:rsidR="00D33143" w:rsidRPr="009F53E5" w:rsidRDefault="00D33143" w:rsidP="003348E2">
            <w:pPr>
              <w:spacing w:after="0" w:line="240" w:lineRule="auto"/>
              <w:rPr>
                <w:rFonts w:ascii="Aptos Narrow" w:eastAsia="Times New Roman" w:hAnsi="Aptos Narrow" w:cs="Times New Roman"/>
                <w:b/>
                <w:bCs/>
                <w:color w:val="FFFFFF"/>
                <w:lang w:eastAsia="hu-HU"/>
              </w:rPr>
            </w:pPr>
            <w:r w:rsidRPr="009F53E5">
              <w:rPr>
                <w:rFonts w:ascii="Aptos Narrow" w:eastAsia="Times New Roman" w:hAnsi="Aptos Narrow" w:cs="Times New Roman"/>
                <w:b/>
                <w:bCs/>
                <w:color w:val="FFFFFF"/>
                <w:lang w:eastAsia="hu-HU"/>
              </w:rPr>
              <w:t>Összesen forrásigény</w:t>
            </w:r>
          </w:p>
        </w:tc>
        <w:tc>
          <w:tcPr>
            <w:tcW w:w="853" w:type="pct"/>
            <w:tcBorders>
              <w:top w:val="single" w:sz="4" w:space="0" w:color="BFBFBF"/>
              <w:left w:val="nil"/>
              <w:bottom w:val="single" w:sz="8" w:space="0" w:color="BFBFBF"/>
              <w:right w:val="single" w:sz="4" w:space="0" w:color="BFBFBF"/>
            </w:tcBorders>
            <w:shd w:val="clear" w:color="000000" w:fill="7030A0"/>
            <w:noWrap/>
            <w:vAlign w:val="center"/>
            <w:hideMark/>
          </w:tcPr>
          <w:p w14:paraId="477BD7E8" w14:textId="170B874C" w:rsidR="00D33143" w:rsidRPr="009F53E5" w:rsidRDefault="00D33143" w:rsidP="003348E2">
            <w:pPr>
              <w:spacing w:after="0" w:line="240" w:lineRule="auto"/>
              <w:jc w:val="center"/>
              <w:rPr>
                <w:rFonts w:ascii="Aptos Narrow" w:eastAsia="Times New Roman" w:hAnsi="Aptos Narrow" w:cs="Times New Roman"/>
                <w:b/>
                <w:bCs/>
                <w:color w:val="FFFFFF"/>
                <w:lang w:eastAsia="hu-HU"/>
              </w:rPr>
            </w:pPr>
            <w:r w:rsidRPr="009F53E5">
              <w:rPr>
                <w:rFonts w:ascii="Aptos Narrow" w:eastAsia="Times New Roman" w:hAnsi="Aptos Narrow" w:cs="Times New Roman"/>
                <w:b/>
                <w:bCs/>
                <w:color w:val="FFFFFF"/>
                <w:lang w:eastAsia="hu-HU"/>
              </w:rPr>
              <w:t xml:space="preserve">158 259 669 </w:t>
            </w:r>
          </w:p>
        </w:tc>
        <w:tc>
          <w:tcPr>
            <w:tcW w:w="740" w:type="pct"/>
            <w:tcBorders>
              <w:top w:val="single" w:sz="4" w:space="0" w:color="BFBFBF"/>
              <w:left w:val="nil"/>
              <w:bottom w:val="single" w:sz="8" w:space="0" w:color="BFBFBF"/>
              <w:right w:val="single" w:sz="8" w:space="0" w:color="BFBFBF"/>
            </w:tcBorders>
            <w:shd w:val="clear" w:color="000000" w:fill="7030A0"/>
            <w:noWrap/>
            <w:vAlign w:val="center"/>
            <w:hideMark/>
          </w:tcPr>
          <w:p w14:paraId="7516C601" w14:textId="1690FCD4" w:rsidR="00D33143" w:rsidRPr="009F53E5" w:rsidRDefault="00D33143" w:rsidP="003348E2">
            <w:pPr>
              <w:spacing w:after="0" w:line="240" w:lineRule="auto"/>
              <w:jc w:val="center"/>
              <w:rPr>
                <w:rFonts w:ascii="Aptos Narrow" w:eastAsia="Times New Roman" w:hAnsi="Aptos Narrow" w:cs="Times New Roman"/>
                <w:b/>
                <w:bCs/>
                <w:color w:val="FFFFFF"/>
                <w:lang w:eastAsia="hu-HU"/>
              </w:rPr>
            </w:pPr>
            <w:r w:rsidRPr="009F53E5">
              <w:rPr>
                <w:rFonts w:ascii="Aptos Narrow" w:eastAsia="Times New Roman" w:hAnsi="Aptos Narrow" w:cs="Times New Roman"/>
                <w:b/>
                <w:bCs/>
                <w:color w:val="FFFFFF"/>
                <w:lang w:eastAsia="hu-HU"/>
              </w:rPr>
              <w:t xml:space="preserve">185 805 448 </w:t>
            </w:r>
          </w:p>
        </w:tc>
      </w:tr>
    </w:tbl>
    <w:p w14:paraId="010BE5D2" w14:textId="77777777" w:rsidR="00D33143" w:rsidRDefault="00D33143" w:rsidP="00D33143"/>
    <w:p w14:paraId="693CCA73" w14:textId="77777777" w:rsidR="00D33143" w:rsidRDefault="00D33143" w:rsidP="00D33143"/>
    <w:p w14:paraId="5C2F8BB2" w14:textId="77777777" w:rsidR="00D33143" w:rsidRDefault="00D33143" w:rsidP="00D07F0D">
      <w:pPr>
        <w:jc w:val="both"/>
      </w:pPr>
      <w:r>
        <w:t>Ez azt jelenti, hogy 2025-ben miközben 161,8 milliárd forintot adott csak a főváros a BKK-</w:t>
      </w:r>
      <w:proofErr w:type="spellStart"/>
      <w:r>
        <w:t>nak</w:t>
      </w:r>
      <w:proofErr w:type="spellEnd"/>
      <w:r>
        <w:t>, a valódi költségeinek fedezetére követelésértékesítéssel, és szállítói halasztással 24 milliárd forintot kellett „előállítson” pluszban. Ennek pénzügyi terhe természetesen 2026-ban megjelenik mindenfajta béremelés nélkül.</w:t>
      </w:r>
    </w:p>
    <w:p w14:paraId="270F176A" w14:textId="77777777" w:rsidR="00D33143" w:rsidRDefault="00D33143" w:rsidP="00D07F0D">
      <w:pPr>
        <w:jc w:val="both"/>
      </w:pPr>
      <w:r>
        <w:t xml:space="preserve">Ahogy fentiekben említettük az egyéb működési célú kiadások növekedése döntően két tételhez kapcsolódott: a szolidaritási hozzájárulás jelentős emelkedéséhez és a közösségi közlekedés növekvő finanszírozási igényéhez. Amennyiben mindkét tételt kiszűrjük, a fennmaradó egyéb működési kiadások összege 2019 és 2025 között mindössze 37,9 milliárd forintról 42,5 milliárd forintra emelkedett, ami nominálisan 12%-os növekedésnek felel meg. Ez bérekkel és inflációval korrigálva már 55%-os reálcsökkenésnek felel meg. Itt is fontos aláhúzni, hogy ez a csökkenés nem szolgáltatási csökkenést jelentett, hanem egyrészt volt egy hatékonyságjavítás, valamint pénzügyi teljesítésben nem tárgyévben fizette ki a közszolgáltatási díj egy részét az önkormányzat </w:t>
      </w:r>
      <w:r>
        <w:lastRenderedPageBreak/>
        <w:t>saját cégeinek, hanem következő év elején. Ez természetesen nem megtakarítás, hanem időbeli átütemezés.</w:t>
      </w:r>
    </w:p>
    <w:p w14:paraId="0901F8A1" w14:textId="77777777" w:rsidR="00D33143" w:rsidRDefault="00D33143" w:rsidP="00D07F0D">
      <w:pPr>
        <w:jc w:val="both"/>
      </w:pPr>
      <w:r>
        <w:t xml:space="preserve">Ezzel együtt több területen is alulfinanszírozottság jelentkezik. Azaz a megrendelt közszolgáltatási mennyiséghez (ez nem az </w:t>
      </w:r>
      <w:proofErr w:type="spellStart"/>
      <w:r>
        <w:t>optimálisat</w:t>
      </w:r>
      <w:proofErr w:type="spellEnd"/>
      <w:r>
        <w:t xml:space="preserve"> jelenti) járó ellentételezést</w:t>
      </w:r>
      <w:proofErr w:type="spellStart"/>
      <w:r/>
      <w:proofErr w:type="spellEnd"/>
      <w:r>
        <w:t xml:space="preserve"> se adja oda az önkormányzat. Ennek terhét rányomja a saját </w:t>
      </w:r>
      <w:proofErr w:type="spellStart"/>
      <w:r>
        <w:t>cégeire</w:t>
      </w:r>
      <w:proofErr w:type="spellEnd"/>
      <w:r>
        <w:t>.</w:t>
      </w:r>
    </w:p>
    <w:p w14:paraId="296795DD" w14:textId="77777777" w:rsidR="002A645A" w:rsidRDefault="002A645A" w:rsidP="002A645A">
      <w:r>
        <w:t xml:space="preserve">Érdemes külön megvizsgálni a közösségi közlekedés finanszírozásának alakulását. </w:t>
      </w:r>
    </w:p>
    <w:tbl>
      <w:tblPr>
        <w:tblStyle w:val="Tblzatrcsos1vilgos1jellszn"/>
        <w:tblW w:w="0" w:type="auto"/>
        <w:tblLook w:val="04A0" w:firstRow="1" w:lastRow="0" w:firstColumn="1" w:lastColumn="0" w:noHBand="0" w:noVBand="1"/>
      </w:tblPr>
      <w:tblGrid>
        <w:gridCol w:w="4565"/>
        <w:gridCol w:w="1490"/>
        <w:gridCol w:w="1490"/>
        <w:gridCol w:w="1096"/>
      </w:tblGrid>
      <w:tr w:rsidR="002A645A" w:rsidRPr="00E110AF" w14:paraId="6EBC67D4" w14:textId="77777777" w:rsidTr="009062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ED019A" w14:textId="77777777" w:rsidR="002A645A" w:rsidRPr="00E110AF" w:rsidRDefault="002A645A" w:rsidP="003348E2">
            <w:pPr>
              <w:jc w:val="center"/>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Kategória</w:t>
            </w:r>
          </w:p>
        </w:tc>
        <w:tc>
          <w:tcPr>
            <w:tcW w:w="0" w:type="auto"/>
            <w:hideMark/>
          </w:tcPr>
          <w:p w14:paraId="70631AE7" w14:textId="77777777" w:rsidR="002A645A" w:rsidRPr="00E110AF" w:rsidRDefault="002A645A" w:rsidP="003348E2">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2019</w:t>
            </w:r>
          </w:p>
        </w:tc>
        <w:tc>
          <w:tcPr>
            <w:tcW w:w="0" w:type="auto"/>
            <w:hideMark/>
          </w:tcPr>
          <w:p w14:paraId="250C0555" w14:textId="77777777" w:rsidR="002A645A" w:rsidRPr="00E110AF" w:rsidRDefault="002A645A" w:rsidP="003348E2">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2025 tény</w:t>
            </w:r>
          </w:p>
        </w:tc>
        <w:tc>
          <w:tcPr>
            <w:tcW w:w="0" w:type="auto"/>
            <w:hideMark/>
          </w:tcPr>
          <w:p w14:paraId="593559A1" w14:textId="77777777" w:rsidR="002A645A" w:rsidRPr="00E110AF" w:rsidRDefault="002A645A" w:rsidP="003348E2">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Változás</w:t>
            </w:r>
          </w:p>
        </w:tc>
      </w:tr>
      <w:tr w:rsidR="002A645A" w:rsidRPr="00E110AF" w14:paraId="68F6DC61" w14:textId="77777777" w:rsidTr="009062EF">
        <w:tc>
          <w:tcPr>
            <w:cnfStyle w:val="001000000000" w:firstRow="0" w:lastRow="0" w:firstColumn="1" w:lastColumn="0" w:oddVBand="0" w:evenVBand="0" w:oddHBand="0" w:evenHBand="0" w:firstRowFirstColumn="0" w:firstRowLastColumn="0" w:lastRowFirstColumn="0" w:lastRowLastColumn="0"/>
            <w:tcW w:w="0" w:type="auto"/>
            <w:hideMark/>
          </w:tcPr>
          <w:p w14:paraId="4CE810E6" w14:textId="77777777" w:rsidR="002A645A" w:rsidRPr="00E110AF" w:rsidRDefault="002A645A" w:rsidP="003348E2">
            <w:pPr>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Utasfizetés (menetdíj + szocpol támogatás)</w:t>
            </w:r>
          </w:p>
        </w:tc>
        <w:tc>
          <w:tcPr>
            <w:tcW w:w="0" w:type="auto"/>
            <w:hideMark/>
          </w:tcPr>
          <w:p w14:paraId="7DDD1C25"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82,1 Mrd Ft</w:t>
            </w:r>
          </w:p>
        </w:tc>
        <w:tc>
          <w:tcPr>
            <w:tcW w:w="0" w:type="auto"/>
            <w:hideMark/>
          </w:tcPr>
          <w:p w14:paraId="268DBA6B"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82,9 Mrd Ft</w:t>
            </w:r>
          </w:p>
        </w:tc>
        <w:tc>
          <w:tcPr>
            <w:tcW w:w="0" w:type="auto"/>
            <w:hideMark/>
          </w:tcPr>
          <w:p w14:paraId="263561D5"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+1,0%</w:t>
            </w:r>
          </w:p>
        </w:tc>
      </w:tr>
      <w:tr w:rsidR="002A645A" w:rsidRPr="00E110AF" w14:paraId="58002718" w14:textId="77777777" w:rsidTr="009062EF">
        <w:tc>
          <w:tcPr>
            <w:cnfStyle w:val="001000000000" w:firstRow="0" w:lastRow="0" w:firstColumn="1" w:lastColumn="0" w:oddVBand="0" w:evenVBand="0" w:oddHBand="0" w:evenHBand="0" w:firstRowFirstColumn="0" w:firstRowLastColumn="0" w:lastRowFirstColumn="0" w:lastRowLastColumn="0"/>
            <w:tcW w:w="0" w:type="auto"/>
            <w:hideMark/>
          </w:tcPr>
          <w:p w14:paraId="61715153" w14:textId="77777777" w:rsidR="002A645A" w:rsidRPr="00E110AF" w:rsidRDefault="002A645A" w:rsidP="003348E2">
            <w:pPr>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Saját bevételek összesen*</w:t>
            </w:r>
          </w:p>
        </w:tc>
        <w:tc>
          <w:tcPr>
            <w:tcW w:w="0" w:type="auto"/>
            <w:hideMark/>
          </w:tcPr>
          <w:p w14:paraId="5349C00F"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104,6 Mrd Ft</w:t>
            </w:r>
          </w:p>
        </w:tc>
        <w:tc>
          <w:tcPr>
            <w:tcW w:w="0" w:type="auto"/>
            <w:hideMark/>
          </w:tcPr>
          <w:p w14:paraId="4F59D04C"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120,8 Mrd Ft</w:t>
            </w:r>
          </w:p>
        </w:tc>
        <w:tc>
          <w:tcPr>
            <w:tcW w:w="0" w:type="auto"/>
            <w:hideMark/>
          </w:tcPr>
          <w:p w14:paraId="4398CD13"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+15,5%</w:t>
            </w:r>
          </w:p>
        </w:tc>
      </w:tr>
      <w:tr w:rsidR="002A645A" w:rsidRPr="00E110AF" w14:paraId="6603C7B4" w14:textId="77777777" w:rsidTr="009062EF">
        <w:tc>
          <w:tcPr>
            <w:cnfStyle w:val="001000000000" w:firstRow="0" w:lastRow="0" w:firstColumn="1" w:lastColumn="0" w:oddVBand="0" w:evenVBand="0" w:oddHBand="0" w:evenHBand="0" w:firstRowFirstColumn="0" w:firstRowLastColumn="0" w:lastRowFirstColumn="0" w:lastRowLastColumn="0"/>
            <w:tcW w:w="0" w:type="auto"/>
            <w:hideMark/>
          </w:tcPr>
          <w:p w14:paraId="18E8B1B7" w14:textId="77777777" w:rsidR="002A645A" w:rsidRPr="00E110AF" w:rsidRDefault="002A645A" w:rsidP="003348E2">
            <w:pPr>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Fővárosi közlekedésszervezői forrás</w:t>
            </w:r>
          </w:p>
        </w:tc>
        <w:tc>
          <w:tcPr>
            <w:tcW w:w="0" w:type="auto"/>
            <w:hideMark/>
          </w:tcPr>
          <w:p w14:paraId="31F685D5"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96,4 Mrd Ft</w:t>
            </w:r>
          </w:p>
        </w:tc>
        <w:tc>
          <w:tcPr>
            <w:tcW w:w="0" w:type="auto"/>
            <w:hideMark/>
          </w:tcPr>
          <w:p w14:paraId="597919BD"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186,2 Mrd Ft</w:t>
            </w:r>
          </w:p>
        </w:tc>
        <w:tc>
          <w:tcPr>
            <w:tcW w:w="0" w:type="auto"/>
            <w:hideMark/>
          </w:tcPr>
          <w:p w14:paraId="15DD4DF1"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+93,2%</w:t>
            </w:r>
          </w:p>
        </w:tc>
      </w:tr>
      <w:tr w:rsidR="002A645A" w:rsidRPr="00E110AF" w14:paraId="6A9B0762" w14:textId="77777777" w:rsidTr="009062EF">
        <w:tc>
          <w:tcPr>
            <w:cnfStyle w:val="001000000000" w:firstRow="0" w:lastRow="0" w:firstColumn="1" w:lastColumn="0" w:oddVBand="0" w:evenVBand="0" w:oddHBand="0" w:evenHBand="0" w:firstRowFirstColumn="0" w:firstRowLastColumn="0" w:lastRowFirstColumn="0" w:lastRowLastColumn="0"/>
            <w:tcW w:w="0" w:type="auto"/>
            <w:hideMark/>
          </w:tcPr>
          <w:p w14:paraId="3A112439" w14:textId="77777777" w:rsidR="002A645A" w:rsidRPr="00E110AF" w:rsidRDefault="002A645A" w:rsidP="003348E2">
            <w:pPr>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Összes működési forrás</w:t>
            </w:r>
          </w:p>
        </w:tc>
        <w:tc>
          <w:tcPr>
            <w:tcW w:w="0" w:type="auto"/>
            <w:hideMark/>
          </w:tcPr>
          <w:p w14:paraId="3EA784C3"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201,0 Mrd Ft</w:t>
            </w:r>
          </w:p>
        </w:tc>
        <w:tc>
          <w:tcPr>
            <w:tcW w:w="0" w:type="auto"/>
            <w:hideMark/>
          </w:tcPr>
          <w:p w14:paraId="3B9CEF74"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307,0 Mrd Ft</w:t>
            </w:r>
          </w:p>
        </w:tc>
        <w:tc>
          <w:tcPr>
            <w:tcW w:w="0" w:type="auto"/>
            <w:hideMark/>
          </w:tcPr>
          <w:p w14:paraId="0E9AFAFA"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+52,7%</w:t>
            </w:r>
          </w:p>
        </w:tc>
      </w:tr>
      <w:tr w:rsidR="002A645A" w:rsidRPr="00E110AF" w14:paraId="02E60599" w14:textId="77777777" w:rsidTr="009062EF">
        <w:tc>
          <w:tcPr>
            <w:cnfStyle w:val="001000000000" w:firstRow="0" w:lastRow="0" w:firstColumn="1" w:lastColumn="0" w:oddVBand="0" w:evenVBand="0" w:oddHBand="0" w:evenHBand="0" w:firstRowFirstColumn="0" w:firstRowLastColumn="0" w:lastRowFirstColumn="0" w:lastRowLastColumn="0"/>
            <w:tcW w:w="0" w:type="auto"/>
            <w:hideMark/>
          </w:tcPr>
          <w:p w14:paraId="58772E24" w14:textId="77777777" w:rsidR="002A645A" w:rsidRPr="00E110AF" w:rsidRDefault="002A645A" w:rsidP="003348E2">
            <w:pPr>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Közvetített szolgáltatások</w:t>
            </w:r>
          </w:p>
        </w:tc>
        <w:tc>
          <w:tcPr>
            <w:tcW w:w="0" w:type="auto"/>
            <w:hideMark/>
          </w:tcPr>
          <w:p w14:paraId="6F31F85C"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166,0 Mrd Ft</w:t>
            </w:r>
          </w:p>
        </w:tc>
        <w:tc>
          <w:tcPr>
            <w:tcW w:w="0" w:type="auto"/>
            <w:hideMark/>
          </w:tcPr>
          <w:p w14:paraId="6B11E717"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270,0 Mrd Ft</w:t>
            </w:r>
          </w:p>
        </w:tc>
        <w:tc>
          <w:tcPr>
            <w:tcW w:w="0" w:type="auto"/>
            <w:hideMark/>
          </w:tcPr>
          <w:p w14:paraId="28DB5F5C"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+62,7%</w:t>
            </w:r>
          </w:p>
        </w:tc>
      </w:tr>
      <w:tr w:rsidR="002A645A" w:rsidRPr="00E110AF" w14:paraId="05579E43" w14:textId="77777777" w:rsidTr="009062EF">
        <w:tc>
          <w:tcPr>
            <w:cnfStyle w:val="001000000000" w:firstRow="0" w:lastRow="0" w:firstColumn="1" w:lastColumn="0" w:oddVBand="0" w:evenVBand="0" w:oddHBand="0" w:evenHBand="0" w:firstRowFirstColumn="0" w:firstRowLastColumn="0" w:lastRowFirstColumn="0" w:lastRowLastColumn="0"/>
            <w:tcW w:w="0" w:type="auto"/>
            <w:hideMark/>
          </w:tcPr>
          <w:p w14:paraId="4D716266" w14:textId="77777777" w:rsidR="002A645A" w:rsidRPr="00E110AF" w:rsidRDefault="002A645A" w:rsidP="003348E2">
            <w:pPr>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BKK saját működési költségek**</w:t>
            </w:r>
          </w:p>
        </w:tc>
        <w:tc>
          <w:tcPr>
            <w:tcW w:w="0" w:type="auto"/>
            <w:hideMark/>
          </w:tcPr>
          <w:p w14:paraId="11D8B628"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39,0 Mrd Ft</w:t>
            </w:r>
          </w:p>
        </w:tc>
        <w:tc>
          <w:tcPr>
            <w:tcW w:w="0" w:type="auto"/>
            <w:hideMark/>
          </w:tcPr>
          <w:p w14:paraId="41D0D181"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40,6 Mrd Ft</w:t>
            </w:r>
          </w:p>
        </w:tc>
        <w:tc>
          <w:tcPr>
            <w:tcW w:w="0" w:type="auto"/>
            <w:hideMark/>
          </w:tcPr>
          <w:p w14:paraId="03022BD1"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+4,1%</w:t>
            </w:r>
          </w:p>
        </w:tc>
      </w:tr>
      <w:tr w:rsidR="002A645A" w:rsidRPr="00E110AF" w14:paraId="125ECF7F" w14:textId="77777777" w:rsidTr="009062EF">
        <w:tc>
          <w:tcPr>
            <w:cnfStyle w:val="001000000000" w:firstRow="0" w:lastRow="0" w:firstColumn="1" w:lastColumn="0" w:oddVBand="0" w:evenVBand="0" w:oddHBand="0" w:evenHBand="0" w:firstRowFirstColumn="0" w:firstRowLastColumn="0" w:lastRowFirstColumn="0" w:lastRowLastColumn="0"/>
            <w:tcW w:w="0" w:type="auto"/>
            <w:hideMark/>
          </w:tcPr>
          <w:p w14:paraId="0D5F1FB3" w14:textId="77777777" w:rsidR="002A645A" w:rsidRPr="00E110AF" w:rsidRDefault="002A645A" w:rsidP="003348E2">
            <w:pPr>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Összes ráfordítás</w:t>
            </w:r>
          </w:p>
        </w:tc>
        <w:tc>
          <w:tcPr>
            <w:tcW w:w="0" w:type="auto"/>
            <w:hideMark/>
          </w:tcPr>
          <w:p w14:paraId="154FD8B5"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205,0 Mrd Ft</w:t>
            </w:r>
          </w:p>
        </w:tc>
        <w:tc>
          <w:tcPr>
            <w:tcW w:w="0" w:type="auto"/>
            <w:hideMark/>
          </w:tcPr>
          <w:p w14:paraId="3339554F"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310,7 Mrd Ft</w:t>
            </w:r>
          </w:p>
        </w:tc>
        <w:tc>
          <w:tcPr>
            <w:tcW w:w="0" w:type="auto"/>
            <w:hideMark/>
          </w:tcPr>
          <w:p w14:paraId="398A86B6" w14:textId="77777777" w:rsidR="002A645A" w:rsidRPr="00E110AF" w:rsidRDefault="002A645A" w:rsidP="003348E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u-HU"/>
              </w:rPr>
            </w:pPr>
            <w:r w:rsidRPr="00E110AF">
              <w:rPr>
                <w:rFonts w:ascii="Times New Roman" w:eastAsia="Times New Roman" w:hAnsi="Times New Roman" w:cs="Times New Roman"/>
                <w:sz w:val="24"/>
                <w:szCs w:val="24"/>
                <w:lang w:eastAsia="hu-HU"/>
              </w:rPr>
              <w:t>+51,6%</w:t>
            </w:r>
          </w:p>
        </w:tc>
      </w:tr>
    </w:tbl>
    <w:p w14:paraId="5A4AEEFC" w14:textId="77777777" w:rsidR="002A645A" w:rsidRPr="00E110AF" w:rsidRDefault="002A645A" w:rsidP="002A645A">
      <w:pPr>
        <w:spacing w:after="200" w:line="276" w:lineRule="auto"/>
      </w:pPr>
      <w:r>
        <w:t xml:space="preserve">* </w:t>
      </w:r>
      <w:r w:rsidRPr="00E110AF">
        <w:t>Saját bevétel: árbevétel + pótdíj + egyéb értékesítési bevételek.</w:t>
      </w:r>
      <w:r w:rsidRPr="00E110AF">
        <w:br/>
        <w:t>** Anyagjellegű ráfordításokból levonva a közvetített szolgáltatásokat.</w:t>
      </w:r>
    </w:p>
    <w:p w14:paraId="07BF2E10" w14:textId="77777777" w:rsidR="002A645A" w:rsidRDefault="002A645A" w:rsidP="002A645A"/>
    <w:p w14:paraId="4C56E099" w14:textId="77777777" w:rsidR="002A645A" w:rsidRPr="00E110AF" w:rsidRDefault="002A645A" w:rsidP="00D07F0D">
      <w:pPr>
        <w:jc w:val="both"/>
      </w:pPr>
      <w:r w:rsidRPr="00E110AF">
        <w:t xml:space="preserve">A 2019 és 2025 közötti időszakban a BKK finanszírozási szerkezetében jelentős átrendeződés következett be. Miközben az utasok által közvetlenül vagy közvetetten finanszírozott bevételek (menetdíjbevételek és szociálpolitikai menetdíj-támogatás együttesen) lényegében változatlan szinten maradtak, a fővárosi finanszírozási hozzájárulás közel megduplázódott. A menetdíjbevétel nominálisan is elmaradt a 2019. évi szinttől, amelyet az állami szociálpolitikai támogatás növekedése részben ellensúlyozott, ugyanakkor a közösségi közlekedési rendszer működtetéséhez szükséges többletforrásokat döntően a Fővárosi Önkormányzat biztosította. Ez arra utal, hogy a közösségi közlekedés fenntarthatósága egyre nagyobb mértékben támaszkodik önkormányzati finanszírozásra. </w:t>
      </w:r>
    </w:p>
    <w:p w14:paraId="3BF31DAE" w14:textId="3A8FDDA0" w:rsidR="002A645A" w:rsidRDefault="002A645A" w:rsidP="00D07F0D">
      <w:pPr>
        <w:jc w:val="both"/>
      </w:pPr>
      <w:r w:rsidRPr="00E110AF">
        <w:t>A kiadási oldalon a legjelentősebb növekedés nem a BKK saját működésében, hanem az általa megrendelt és közvetített közszolgáltatások körében jelentkezett. A közvetített szolgáltatások értéke 2019 és 2025 között több mint 60 százalékkal emelkedett, miközben a BKK saját működési költségei nominálisan csupán minimális mértékben nőttek. Ez azt mutatja, hogy a társaság költségszerkezete alapvetően továbbra is a közlekedési szolgáltatások megrendelésére épül, és a költségnövekedés döntően a szolgáltatókkal kötött szerződések, valamint az üzemeltetési költségek emelkedéséből fakadt</w:t>
      </w:r>
      <w:r>
        <w:t>.</w:t>
      </w:r>
    </w:p>
    <w:p w14:paraId="78C67CB7" w14:textId="54B2518C" w:rsidR="002A645A" w:rsidRPr="0082175B" w:rsidRDefault="002A645A" w:rsidP="00D07F0D">
      <w:pPr>
        <w:spacing w:after="200" w:line="276" w:lineRule="auto"/>
        <w:jc w:val="both"/>
      </w:pPr>
      <w:r w:rsidRPr="0082175B">
        <w:t>A BKK által megrendelt közösségi közlekedési teljesítmény 2019 és 2025 között érdemben nem változott. A férőhelykilométerben mért szolgáltatási volumen 15,9 millióról 16,5 millióra emelkedett, ami mindössze 3,8%-os növekedést jelent. A szolgáltatási kínálat tehát lényegében a 2019-es szint közelében maradt, miközben a budapesti közösségi közlekedési rendszer finanszírozási igénye jelentősen nőtt.</w:t>
      </w:r>
    </w:p>
    <w:p w14:paraId="71AB76E2" w14:textId="3139687D" w:rsidR="002A645A" w:rsidRPr="0082175B" w:rsidRDefault="002A645A" w:rsidP="00D07F0D">
      <w:pPr>
        <w:spacing w:after="200" w:line="276" w:lineRule="auto"/>
        <w:jc w:val="both"/>
      </w:pPr>
      <w:r w:rsidRPr="0082175B">
        <w:t xml:space="preserve">Ezzel párhuzamosan a megrendelt közlekedési szolgáltatások ellenértéke 166 milliárd forintról 270 milliárd forintra emelkedett, ami 62,7%-os növekedésnek felel meg. Míg a teljesítmény alig 4%-kal bővült, addig az egy férőhelykilométerre jutó szolgáltatási költség közel 57%-kal </w:t>
      </w:r>
      <w:r w:rsidRPr="0082175B">
        <w:lastRenderedPageBreak/>
        <w:t>emelkedett. Ez arra utal, hogy a költségnövekedés döntően nem a szolgáltatási volumen bővüléséből, hanem az üzemeltetési, energia- és bérköltségek emelkedéséből fakadt.</w:t>
      </w:r>
    </w:p>
    <w:p w14:paraId="59FCA66C" w14:textId="6E0A3EF1" w:rsidR="002A645A" w:rsidRPr="00E110AF" w:rsidRDefault="002A645A" w:rsidP="00D07F0D">
      <w:pPr>
        <w:jc w:val="both"/>
      </w:pPr>
      <w:r>
        <w:t xml:space="preserve">Ugyanakkor ez az infláció szintjét </w:t>
      </w:r>
      <w:r w:rsidR="009062EF">
        <w:t>sem éri el</w:t>
      </w:r>
      <w:r>
        <w:t xml:space="preserve">, </w:t>
      </w:r>
      <w:r w:rsidR="009062EF">
        <w:t xml:space="preserve">és persze </w:t>
      </w:r>
      <w:r>
        <w:t>a bérek emelkedését nem finanszírozta a rendszer.</w:t>
      </w:r>
    </w:p>
    <w:p w14:paraId="78AD3F70" w14:textId="77777777" w:rsidR="002A645A" w:rsidRDefault="002A645A" w:rsidP="00D07F0D">
      <w:pPr>
        <w:jc w:val="both"/>
      </w:pPr>
    </w:p>
    <w:p w14:paraId="2BABF807" w14:textId="45789B2F" w:rsidR="00D33143" w:rsidRDefault="00D33143" w:rsidP="00D33143">
      <w:pPr>
        <w:pStyle w:val="Cmsor2"/>
      </w:pPr>
      <w:r>
        <w:t>Összegző értékelés</w:t>
      </w:r>
    </w:p>
    <w:p w14:paraId="7F56FF94" w14:textId="77777777" w:rsidR="00D33143" w:rsidRDefault="00D33143" w:rsidP="00D07F0D">
      <w:pPr>
        <w:jc w:val="both"/>
      </w:pPr>
      <w:r>
        <w:t>A 2019 és 2025 közötti kiadási adatok egy jelentős nominális bővülést és ezzel párhuzamosan érdemi szerkezeti átalakulást mutatnak. A teljes kiadási főösszeg 74 százalékkal emelkedett, de a növekedés a kiadási csoportok között egyenlőtlenül oszlott meg. A személyi juttatások közel megduplázódtak, a dologi kiadások 83 százalékkal nőttek, az egyéb működési kiadások pedig több mint kétszeresükre emelkedtek.</w:t>
      </w:r>
    </w:p>
    <w:p w14:paraId="4797C534" w14:textId="23E26074" w:rsidR="00D33143" w:rsidRDefault="00D33143" w:rsidP="00D07F0D">
      <w:pPr>
        <w:jc w:val="both"/>
      </w:pPr>
      <w:r>
        <w:t xml:space="preserve">A dologi kiadások részletezése arra mutat rá, hogy a kamat- és energiajellegű költségek jelentős szerepet játszanak a nominális emelkedésben. </w:t>
      </w:r>
      <w:r w:rsidR="009062EF">
        <w:t xml:space="preserve">A </w:t>
      </w:r>
      <w:r>
        <w:t>tisztított dologi adat reálértéken közel stagnáló működési költségekre utal. A személyi kiadások növekedése a bérdinamikával összhangban történt.</w:t>
      </w:r>
    </w:p>
    <w:p w14:paraId="24754039" w14:textId="77777777" w:rsidR="00D33143" w:rsidRDefault="00D33143" w:rsidP="00D07F0D">
      <w:pPr>
        <w:jc w:val="both"/>
      </w:pPr>
      <w:r>
        <w:t>A legmarkánsabb ellenirányú folyamat a beruházások, felújítások és karbantartások csökkenése. Ez a kiadási szerkezetben a fejlesztési és vagyonfenntartási kapacitás szűkülését jelzi. A közösségi közlekedéshez és más önkormányzati társaságokhoz kapcsolódó támogatások növekedése szintén fontos tényező: a működési finanszírozás nagyobb költségvetési súlyt képvisel.</w:t>
      </w:r>
    </w:p>
    <w:p w14:paraId="12202F37" w14:textId="3E1A4076" w:rsidR="00D07F0D" w:rsidRPr="00D07F0D" w:rsidRDefault="00D07F0D" w:rsidP="00D07F0D">
      <w:pPr>
        <w:jc w:val="both"/>
      </w:pPr>
      <w:r w:rsidRPr="00D07F0D">
        <w:t xml:space="preserve">A Főváros tényleges működési mozgásterének vizsgálatához a költségvetési kiadásokból első lépésben kiszűrésre kerültek a felhalmozási kiadások (beruházások, felújítások és egyéb felhalmozási célú kiadások), majd a működési teljesítményt érdemben nem befolyásoló pénzügyi és államháztartási tételek, így a szolidaritási hozzájárulás, a kamatkiadások és a hosszú lejáratú hitelek törlesztése is levonásra került. E módszertan alapján a korrigált működési kiadások összege 2019-ben </w:t>
      </w:r>
      <w:r w:rsidR="00872DBA">
        <w:t>204</w:t>
      </w:r>
      <w:r w:rsidRPr="00D07F0D">
        <w:t>,</w:t>
      </w:r>
      <w:r w:rsidR="00872DBA">
        <w:t>8</w:t>
      </w:r>
      <w:r w:rsidRPr="00D07F0D">
        <w:t xml:space="preserve"> milliárd forintot, 2025-ben pedig 328,4 milliárd forintot tett ki. A növekedés nominálisan 12</w:t>
      </w:r>
      <w:r w:rsidR="00872DBA">
        <w:t>3</w:t>
      </w:r>
      <w:r w:rsidRPr="00D07F0D">
        <w:t>,</w:t>
      </w:r>
      <w:r w:rsidR="00872DBA">
        <w:t>6</w:t>
      </w:r>
      <w:r w:rsidRPr="00D07F0D">
        <w:t xml:space="preserve"> milliárd forint, amely mintegy 6</w:t>
      </w:r>
      <w:r w:rsidR="00E205C2">
        <w:t>0</w:t>
      </w:r>
      <w:r w:rsidRPr="00D07F0D">
        <w:t xml:space="preserve"> százalékos emelkedésnek felel meg.</w:t>
      </w:r>
    </w:p>
    <w:p w14:paraId="2F06F4DA" w14:textId="3C3951FB" w:rsidR="00C147CA" w:rsidRDefault="00D07F0D" w:rsidP="00D07F0D">
      <w:pPr>
        <w:jc w:val="both"/>
      </w:pPr>
      <w:r w:rsidRPr="00D07F0D">
        <w:t>A jelentős nominális növekedés ugyanakkor lényegében megfelel a vizsgált időszak inflációs környezetének. A 2019 és 2025 közötti kumulált infláció megközelítette a</w:t>
      </w:r>
      <w:r w:rsidR="00C147CA">
        <w:t>z</w:t>
      </w:r>
      <w:r w:rsidRPr="00D07F0D">
        <w:t xml:space="preserve"> </w:t>
      </w:r>
      <w:r w:rsidR="00E205C2">
        <w:t>5</w:t>
      </w:r>
      <w:r w:rsidR="00C147CA">
        <w:t>8</w:t>
      </w:r>
      <w:r w:rsidRPr="00D07F0D">
        <w:t xml:space="preserve"> százalékot, így a korrigált működési kiadások reálértéke a két időpont között gyakorlatilag változatlan maradt. Ez azt jelenti, hogy miközben a Főváros nominálisan lényegesen több forrást fordított közszolgáltatásai működtetésére, a vásárlóerőben kifejezett pénzügyi mozgástér érdemben nem bővült. </w:t>
      </w:r>
      <w:r w:rsidR="00C147CA" w:rsidRPr="00C147CA">
        <w:t xml:space="preserve">Amennyiben a bérek és az infláció együttes, 50–50%-os </w:t>
      </w:r>
      <w:proofErr w:type="spellStart"/>
      <w:r w:rsidR="00C147CA" w:rsidRPr="00C147CA">
        <w:t>súlyozású</w:t>
      </w:r>
      <w:proofErr w:type="spellEnd"/>
      <w:r w:rsidR="00C147CA" w:rsidRPr="00C147CA">
        <w:t xml:space="preserve"> költséghatását vesszük figyelembe, akkor a 2019. évi szint megőrzéséhez mintegy 78%-os nominális kiadásnövekedés lett volna szükséges. A korrigált működési kiadások tényleges növekedése 60% volt, vagyis ettől mintegy 18 százalékponttal elmaradt.</w:t>
      </w:r>
    </w:p>
    <w:p w14:paraId="24AD8F39" w14:textId="0BC7FDD8" w:rsidR="00375E23" w:rsidRDefault="00D33143" w:rsidP="00D07F0D">
      <w:pPr>
        <w:jc w:val="both"/>
      </w:pPr>
      <w:r>
        <w:t xml:space="preserve">A bemutatott adatok alapján nem állítható, hogy a működési ágon pazarlás történt volna, sőt túlzott, de kényszerű működési forráskivonás történt. </w:t>
      </w:r>
    </w:p>
    <w:p w14:paraId="4FB76497" w14:textId="77777777" w:rsidR="00AD1B27" w:rsidRDefault="00AD1B27" w:rsidP="00D07F0D">
      <w:pPr>
        <w:jc w:val="both"/>
      </w:pPr>
    </w:p>
    <w:p w14:paraId="1461D1BC" w14:textId="02BD7642" w:rsidR="00AD1B27" w:rsidRDefault="00AD1B27" w:rsidP="00D07F0D">
      <w:pPr>
        <w:jc w:val="both"/>
      </w:pPr>
      <w:r>
        <w:rPr>
          <w:noProof/>
        </w:rPr>
        <w:lastRenderedPageBreak/>
        <mc:AlternateContent>
          <mc:Choice Requires="wps">
            <w:drawing>
              <wp:anchor distT="45720" distB="45720" distL="114300" distR="114300" simplePos="0" relativeHeight="251662336" behindDoc="0" locked="0" layoutInCell="1" allowOverlap="1" wp14:anchorId="396E827E" wp14:editId="619A37DC">
                <wp:simplePos x="0" y="0"/>
                <wp:positionH relativeFrom="margin">
                  <wp:align>center</wp:align>
                </wp:positionH>
                <wp:positionV relativeFrom="page">
                  <wp:posOffset>1270288</wp:posOffset>
                </wp:positionV>
                <wp:extent cx="4697730" cy="5444490"/>
                <wp:effectExtent l="0" t="0" r="26670" b="22860"/>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730" cy="5444490"/>
                        </a:xfrm>
                        <a:prstGeom prst="rect">
                          <a:avLst/>
                        </a:prstGeom>
                        <a:solidFill>
                          <a:srgbClr val="FFFFFF"/>
                        </a:solidFill>
                        <a:ln w="9525">
                          <a:solidFill>
                            <a:srgbClr val="000000"/>
                          </a:solidFill>
                          <a:miter lim="800000"/>
                          <a:headEnd/>
                          <a:tailEnd/>
                        </a:ln>
                      </wps:spPr>
                      <wps:txbx>
                        <w:txbxContent>
                          <w:p w14:paraId="07B7C582" w14:textId="77777777" w:rsidR="00AD1B27" w:rsidRDefault="00AD1B27" w:rsidP="00AD1B27">
                            <w:pPr>
                              <w:rPr>
                                <w:b/>
                                <w:bCs/>
                              </w:rPr>
                            </w:pPr>
                            <w:r>
                              <w:rPr>
                                <w:b/>
                                <w:bCs/>
                              </w:rPr>
                              <w:t>Bevételekről röviden:</w:t>
                            </w:r>
                          </w:p>
                          <w:p w14:paraId="3020C626" w14:textId="77777777" w:rsidR="00AD1B27" w:rsidRPr="00AD1B27" w:rsidRDefault="00AD1B27" w:rsidP="00AD1B27">
                            <w:r w:rsidRPr="00AD1B27">
                              <w:rPr>
                                <w:b/>
                                <w:bCs/>
                              </w:rPr>
                              <w:t>A főváros költségvetési bevételei 2019 és 2025 között 270,9 milliárd forintról 429,1 milliárd forintra emelkedtek, ami nominálisan 58 százalékos növekedést jelent. A bevételi szerkezet ugyanakkor jelentősen átalakult: a növekedés döntően a helyi iparűzési adó bővüléséből származott, miközben az állami fejlesztési támogatások és a felhalmozási bevételek drasztikusan visszaestek.</w:t>
                            </w:r>
                          </w:p>
                          <w:tbl>
                            <w:tblPr>
                              <w:tblStyle w:val="Tblzatrcsos1vilgos1jellszn"/>
                              <w:tblW w:w="0" w:type="auto"/>
                              <w:tblLook w:val="04A0" w:firstRow="1" w:lastRow="0" w:firstColumn="1" w:lastColumn="0" w:noHBand="0" w:noVBand="1"/>
                            </w:tblPr>
                            <w:tblGrid>
                              <w:gridCol w:w="3050"/>
                              <w:gridCol w:w="1427"/>
                              <w:gridCol w:w="1427"/>
                              <w:gridCol w:w="950"/>
                            </w:tblGrid>
                            <w:tr w:rsidR="00AD1B27" w:rsidRPr="00AD1B27" w14:paraId="5FBCB43E" w14:textId="77777777" w:rsidTr="00AD1B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A94BE2" w14:textId="77777777" w:rsidR="00AD1B27" w:rsidRPr="00AD1B27" w:rsidRDefault="00AD1B27" w:rsidP="00AD1B27">
                                  <w:pPr>
                                    <w:jc w:val="cente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Bevételi jogcím</w:t>
                                  </w:r>
                                </w:p>
                              </w:tc>
                              <w:tc>
                                <w:tcPr>
                                  <w:tcW w:w="0" w:type="auto"/>
                                  <w:hideMark/>
                                </w:tcPr>
                                <w:p w14:paraId="52D0EA5A" w14:textId="77777777" w:rsidR="00AD1B27" w:rsidRPr="00AD1B27" w:rsidRDefault="00AD1B27" w:rsidP="00AD1B2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2019 (Mrd Ft)</w:t>
                                  </w:r>
                                </w:p>
                              </w:tc>
                              <w:tc>
                                <w:tcPr>
                                  <w:tcW w:w="0" w:type="auto"/>
                                  <w:hideMark/>
                                </w:tcPr>
                                <w:p w14:paraId="33BB62F3" w14:textId="77777777" w:rsidR="00AD1B27" w:rsidRPr="00AD1B27" w:rsidRDefault="00AD1B27" w:rsidP="00AD1B2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2025 (Mrd Ft)</w:t>
                                  </w:r>
                                </w:p>
                              </w:tc>
                              <w:tc>
                                <w:tcPr>
                                  <w:tcW w:w="0" w:type="auto"/>
                                  <w:hideMark/>
                                </w:tcPr>
                                <w:p w14:paraId="36CFDF77" w14:textId="77777777" w:rsidR="00AD1B27" w:rsidRPr="00AD1B27" w:rsidRDefault="00AD1B27" w:rsidP="00AD1B2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Változás</w:t>
                                  </w:r>
                                </w:p>
                              </w:tc>
                            </w:tr>
                            <w:tr w:rsidR="00AD1B27" w:rsidRPr="00AD1B27" w14:paraId="5FA39BF4"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655B8A75" w14:textId="4C974051"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Állami működési támogatások</w:t>
                                  </w:r>
                                </w:p>
                              </w:tc>
                              <w:tc>
                                <w:tcPr>
                                  <w:tcW w:w="0" w:type="auto"/>
                                  <w:hideMark/>
                                </w:tcPr>
                                <w:p w14:paraId="03DBA5D7"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29,2</w:t>
                                  </w:r>
                                </w:p>
                              </w:tc>
                              <w:tc>
                                <w:tcPr>
                                  <w:tcW w:w="0" w:type="auto"/>
                                  <w:hideMark/>
                                </w:tcPr>
                                <w:p w14:paraId="1C75DBD6"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46,2</w:t>
                                  </w:r>
                                </w:p>
                              </w:tc>
                              <w:tc>
                                <w:tcPr>
                                  <w:tcW w:w="0" w:type="auto"/>
                                  <w:hideMark/>
                                </w:tcPr>
                                <w:p w14:paraId="707F5317"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+58%</w:t>
                                  </w:r>
                                </w:p>
                              </w:tc>
                            </w:tr>
                            <w:tr w:rsidR="00AD1B27" w:rsidRPr="00AD1B27" w14:paraId="4E3156C4"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22A2D08F" w14:textId="1379C50E"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 xml:space="preserve">Állami felhalmozási támogatások </w:t>
                                  </w:r>
                                </w:p>
                              </w:tc>
                              <w:tc>
                                <w:tcPr>
                                  <w:tcW w:w="0" w:type="auto"/>
                                  <w:hideMark/>
                                </w:tcPr>
                                <w:p w14:paraId="5B27CD86"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19,9</w:t>
                                  </w:r>
                                </w:p>
                              </w:tc>
                              <w:tc>
                                <w:tcPr>
                                  <w:tcW w:w="0" w:type="auto"/>
                                  <w:hideMark/>
                                </w:tcPr>
                                <w:p w14:paraId="210463C6"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2,6</w:t>
                                  </w:r>
                                </w:p>
                              </w:tc>
                              <w:tc>
                                <w:tcPr>
                                  <w:tcW w:w="0" w:type="auto"/>
                                  <w:hideMark/>
                                </w:tcPr>
                                <w:p w14:paraId="40747174"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-87%</w:t>
                                  </w:r>
                                </w:p>
                              </w:tc>
                            </w:tr>
                            <w:tr w:rsidR="00AD1B27" w:rsidRPr="00AD1B27" w14:paraId="51AEF029"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55DA7F0F" w14:textId="379BF343"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Közhatalmi bevételek</w:t>
                                  </w:r>
                                </w:p>
                              </w:tc>
                              <w:tc>
                                <w:tcPr>
                                  <w:tcW w:w="0" w:type="auto"/>
                                  <w:hideMark/>
                                </w:tcPr>
                                <w:p w14:paraId="3A4944D5"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164,7</w:t>
                                  </w:r>
                                </w:p>
                              </w:tc>
                              <w:tc>
                                <w:tcPr>
                                  <w:tcW w:w="0" w:type="auto"/>
                                  <w:hideMark/>
                                </w:tcPr>
                                <w:p w14:paraId="27E265D0"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316,3</w:t>
                                  </w:r>
                                </w:p>
                              </w:tc>
                              <w:tc>
                                <w:tcPr>
                                  <w:tcW w:w="0" w:type="auto"/>
                                  <w:hideMark/>
                                </w:tcPr>
                                <w:p w14:paraId="3368AC83"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+92%</w:t>
                                  </w:r>
                                </w:p>
                              </w:tc>
                            </w:tr>
                            <w:tr w:rsidR="00AD1B27" w:rsidRPr="00AD1B27" w14:paraId="26107411"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3F40352E" w14:textId="307FC0C3"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Működési bevételek</w:t>
                                  </w:r>
                                </w:p>
                              </w:tc>
                              <w:tc>
                                <w:tcPr>
                                  <w:tcW w:w="0" w:type="auto"/>
                                  <w:hideMark/>
                                </w:tcPr>
                                <w:p w14:paraId="1D44E8D9"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41,8</w:t>
                                  </w:r>
                                </w:p>
                              </w:tc>
                              <w:tc>
                                <w:tcPr>
                                  <w:tcW w:w="0" w:type="auto"/>
                                  <w:hideMark/>
                                </w:tcPr>
                                <w:p w14:paraId="77A59D14"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55,0</w:t>
                                  </w:r>
                                </w:p>
                              </w:tc>
                              <w:tc>
                                <w:tcPr>
                                  <w:tcW w:w="0" w:type="auto"/>
                                  <w:hideMark/>
                                </w:tcPr>
                                <w:p w14:paraId="2787F6B6"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+32%</w:t>
                                  </w:r>
                                </w:p>
                              </w:tc>
                            </w:tr>
                            <w:tr w:rsidR="00AD1B27" w:rsidRPr="00AD1B27" w14:paraId="33EBFD2C"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604182BF" w14:textId="1188F2C9"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Felhalmozási bevételek</w:t>
                                  </w:r>
                                </w:p>
                              </w:tc>
                              <w:tc>
                                <w:tcPr>
                                  <w:tcW w:w="0" w:type="auto"/>
                                  <w:hideMark/>
                                </w:tcPr>
                                <w:p w14:paraId="4C41B9AB"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14,2</w:t>
                                  </w:r>
                                </w:p>
                              </w:tc>
                              <w:tc>
                                <w:tcPr>
                                  <w:tcW w:w="0" w:type="auto"/>
                                  <w:hideMark/>
                                </w:tcPr>
                                <w:p w14:paraId="107CBEA0"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1,5</w:t>
                                  </w:r>
                                </w:p>
                              </w:tc>
                              <w:tc>
                                <w:tcPr>
                                  <w:tcW w:w="0" w:type="auto"/>
                                  <w:hideMark/>
                                </w:tcPr>
                                <w:p w14:paraId="1CA9AA03"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-89%</w:t>
                                  </w:r>
                                </w:p>
                              </w:tc>
                            </w:tr>
                            <w:tr w:rsidR="00AD1B27" w:rsidRPr="00AD1B27" w14:paraId="56F49E83"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7F5C50C8" w14:textId="14BECB79"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Átvett pénzeszközök</w:t>
                                  </w:r>
                                </w:p>
                              </w:tc>
                              <w:tc>
                                <w:tcPr>
                                  <w:tcW w:w="0" w:type="auto"/>
                                  <w:hideMark/>
                                </w:tcPr>
                                <w:p w14:paraId="1393F3A8"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1,2</w:t>
                                  </w:r>
                                </w:p>
                              </w:tc>
                              <w:tc>
                                <w:tcPr>
                                  <w:tcW w:w="0" w:type="auto"/>
                                  <w:hideMark/>
                                </w:tcPr>
                                <w:p w14:paraId="2DF73632"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7,1</w:t>
                                  </w:r>
                                </w:p>
                              </w:tc>
                              <w:tc>
                                <w:tcPr>
                                  <w:tcW w:w="0" w:type="auto"/>
                                  <w:hideMark/>
                                </w:tcPr>
                                <w:p w14:paraId="7FE6DE8C"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+478%</w:t>
                                  </w:r>
                                </w:p>
                              </w:tc>
                            </w:tr>
                            <w:tr w:rsidR="00AD1B27" w:rsidRPr="00AD1B27" w14:paraId="77C20183"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0171F8F6" w14:textId="77777777"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Összes költségvetési bevétel</w:t>
                                  </w:r>
                                </w:p>
                              </w:tc>
                              <w:tc>
                                <w:tcPr>
                                  <w:tcW w:w="0" w:type="auto"/>
                                  <w:hideMark/>
                                </w:tcPr>
                                <w:p w14:paraId="0C68A207"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270,9</w:t>
                                  </w:r>
                                </w:p>
                              </w:tc>
                              <w:tc>
                                <w:tcPr>
                                  <w:tcW w:w="0" w:type="auto"/>
                                  <w:hideMark/>
                                </w:tcPr>
                                <w:p w14:paraId="251CA3EA"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429,1</w:t>
                                  </w:r>
                                </w:p>
                              </w:tc>
                              <w:tc>
                                <w:tcPr>
                                  <w:tcW w:w="0" w:type="auto"/>
                                  <w:hideMark/>
                                </w:tcPr>
                                <w:p w14:paraId="56C8FDEB"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+58%</w:t>
                                  </w:r>
                                </w:p>
                              </w:tc>
                            </w:tr>
                          </w:tbl>
                          <w:p w14:paraId="5144F456" w14:textId="77777777" w:rsidR="00AD1B27" w:rsidRDefault="00AD1B27" w:rsidP="00AD1B27">
                            <w:pPr>
                              <w:rPr>
                                <w:b/>
                                <w:bCs/>
                              </w:rPr>
                            </w:pPr>
                          </w:p>
                          <w:p w14:paraId="745E62F0" w14:textId="0C87D00B" w:rsidR="00AD1B27" w:rsidRPr="00AD1B27" w:rsidRDefault="00AD1B27" w:rsidP="00AD1B27">
                            <w:r w:rsidRPr="00AD1B27">
                              <w:rPr>
                                <w:b/>
                                <w:bCs/>
                              </w:rPr>
                              <w:t>A közhatalmi bevételek súlya a teljes költségvetési bevételeken belül 61 százalékról közel 74 százalékra nőtt. A helyi iparűzési adóból származó bevétel 164 milliárd forintról 311 milliárd forintra emelkedett, így a főváros pénzügyi mozgástere egyre inkább a budapesti gazdaság teljesítményétől függ.</w:t>
                            </w:r>
                          </w:p>
                          <w:p w14:paraId="640687CC" w14:textId="77777777" w:rsidR="00AD1B27" w:rsidRPr="00AD1B27" w:rsidRDefault="00AD1B27" w:rsidP="00AD1B27">
                            <w:r w:rsidRPr="00AD1B27">
                              <w:rPr>
                                <w:b/>
                                <w:bCs/>
                              </w:rPr>
                              <w:t>Ezzel párhuzamosan a fejlesztési célú állami források szinte teljesen eltűntek: a felhalmozási támogatások 19,9 milliárd forintról 2,6 milliárd forintra csökkentek. A bevételi oldal így egyre inkább működési és adójellegű forrásokra épül, miközben a beruházások külső finanszírozási háttere jelentősen szűkült.</w:t>
                            </w:r>
                          </w:p>
                          <w:p w14:paraId="69948BA0" w14:textId="77777777" w:rsidR="00AD1B27" w:rsidRDefault="00AD1B27" w:rsidP="00AD1B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6E827E" id="Szövegdoboz 2" o:spid="_x0000_s1028" type="#_x0000_t202" style="position:absolute;left:0;text-align:left;margin-left:0;margin-top:100pt;width:369.9pt;height:428.7pt;z-index:2516623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">
                <v:textbox style="mso-fit-shape-to-text:t">
                  <w:txbxContent>
                    <w:p w14:paraId="07B7C582" w14:textId="77777777" w:rsidR="00AD1B27" w:rsidRDefault="00AD1B27" w:rsidP="00AD1B27">
                      <w:pPr>
                        <w:rPr>
                          <w:b/>
                          <w:bCs/>
                        </w:rPr>
                      </w:pPr>
                      <w:r>
                        <w:rPr>
                          <w:b/>
                          <w:bCs/>
                        </w:rPr>
                        <w:t>Bevételekről röviden:</w:t>
                      </w:r>
                    </w:p>
                    <w:p w14:paraId="3020C626" w14:textId="77777777" w:rsidR="00AD1B27" w:rsidRPr="00AD1B27" w:rsidRDefault="00AD1B27" w:rsidP="00AD1B27">
                      <w:r w:rsidRPr="00AD1B27">
                        <w:rPr>
                          <w:b/>
                          <w:bCs/>
                        </w:rPr>
                        <w:t>A főváros költségvetési bevételei 2019 és 2025 között 270,9 milliárd forintról 429,1 milliárd forintra emelkedtek, ami nominálisan 58 százalékos növekedést jelent. A bevételi szerkezet ugyanakkor jelentősen átalakult: a növekedés döntően a helyi iparűzési adó bővüléséből származott, miközben az állami fejlesztési támogatások és a felhalmozási bevételek drasztikusan visszaestek.</w:t>
                      </w:r>
                    </w:p>
                    <w:tbl>
                      <w:tblPr>
                        <w:tblStyle w:val="Tblzatrcsos1vilgos1jellszn"/>
                        <w:tblW w:w="0" w:type="auto"/>
                        <w:tblLook w:val="04A0" w:firstRow="1" w:lastRow="0" w:firstColumn="1" w:lastColumn="0" w:noHBand="0" w:noVBand="1"/>
                      </w:tblPr>
                      <w:tblGrid>
                        <w:gridCol w:w="3050"/>
                        <w:gridCol w:w="1427"/>
                        <w:gridCol w:w="1427"/>
                        <w:gridCol w:w="950"/>
                      </w:tblGrid>
                      <w:tr w:rsidR="00AD1B27" w:rsidRPr="00AD1B27" w14:paraId="5FBCB43E" w14:textId="77777777" w:rsidTr="00AD1B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A94BE2" w14:textId="77777777" w:rsidR="00AD1B27" w:rsidRPr="00AD1B27" w:rsidRDefault="00AD1B27" w:rsidP="00AD1B27">
                            <w:pPr>
                              <w:jc w:val="cente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Bevételi jogcím</w:t>
                            </w:r>
                          </w:p>
                        </w:tc>
                        <w:tc>
                          <w:tcPr>
                            <w:tcW w:w="0" w:type="auto"/>
                            <w:hideMark/>
                          </w:tcPr>
                          <w:p w14:paraId="52D0EA5A" w14:textId="77777777" w:rsidR="00AD1B27" w:rsidRPr="00AD1B27" w:rsidRDefault="00AD1B27" w:rsidP="00AD1B2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2019 (Mrd Ft)</w:t>
                            </w:r>
                          </w:p>
                        </w:tc>
                        <w:tc>
                          <w:tcPr>
                            <w:tcW w:w="0" w:type="auto"/>
                            <w:hideMark/>
                          </w:tcPr>
                          <w:p w14:paraId="33BB62F3" w14:textId="77777777" w:rsidR="00AD1B27" w:rsidRPr="00AD1B27" w:rsidRDefault="00AD1B27" w:rsidP="00AD1B2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2025 (Mrd Ft)</w:t>
                            </w:r>
                          </w:p>
                        </w:tc>
                        <w:tc>
                          <w:tcPr>
                            <w:tcW w:w="0" w:type="auto"/>
                            <w:hideMark/>
                          </w:tcPr>
                          <w:p w14:paraId="36CFDF77" w14:textId="77777777" w:rsidR="00AD1B27" w:rsidRPr="00AD1B27" w:rsidRDefault="00AD1B27" w:rsidP="00AD1B2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Változás</w:t>
                            </w:r>
                          </w:p>
                        </w:tc>
                      </w:tr>
                      <w:tr w:rsidR="00AD1B27" w:rsidRPr="00AD1B27" w14:paraId="5FA39BF4"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655B8A75" w14:textId="4C974051"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Állami működési támogatások</w:t>
                            </w:r>
                          </w:p>
                        </w:tc>
                        <w:tc>
                          <w:tcPr>
                            <w:tcW w:w="0" w:type="auto"/>
                            <w:hideMark/>
                          </w:tcPr>
                          <w:p w14:paraId="03DBA5D7"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29,2</w:t>
                            </w:r>
                          </w:p>
                        </w:tc>
                        <w:tc>
                          <w:tcPr>
                            <w:tcW w:w="0" w:type="auto"/>
                            <w:hideMark/>
                          </w:tcPr>
                          <w:p w14:paraId="1C75DBD6"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46,2</w:t>
                            </w:r>
                          </w:p>
                        </w:tc>
                        <w:tc>
                          <w:tcPr>
                            <w:tcW w:w="0" w:type="auto"/>
                            <w:hideMark/>
                          </w:tcPr>
                          <w:p w14:paraId="707F5317"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+58%</w:t>
                            </w:r>
                          </w:p>
                        </w:tc>
                      </w:tr>
                      <w:tr w:rsidR="00AD1B27" w:rsidRPr="00AD1B27" w14:paraId="4E3156C4"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22A2D08F" w14:textId="1379C50E"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 xml:space="preserve">Állami felhalmozási támogatások </w:t>
                            </w:r>
                          </w:p>
                        </w:tc>
                        <w:tc>
                          <w:tcPr>
                            <w:tcW w:w="0" w:type="auto"/>
                            <w:hideMark/>
                          </w:tcPr>
                          <w:p w14:paraId="5B27CD86"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19,9</w:t>
                            </w:r>
                          </w:p>
                        </w:tc>
                        <w:tc>
                          <w:tcPr>
                            <w:tcW w:w="0" w:type="auto"/>
                            <w:hideMark/>
                          </w:tcPr>
                          <w:p w14:paraId="210463C6"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2,6</w:t>
                            </w:r>
                          </w:p>
                        </w:tc>
                        <w:tc>
                          <w:tcPr>
                            <w:tcW w:w="0" w:type="auto"/>
                            <w:hideMark/>
                          </w:tcPr>
                          <w:p w14:paraId="40747174"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-87%</w:t>
                            </w:r>
                          </w:p>
                        </w:tc>
                      </w:tr>
                      <w:tr w:rsidR="00AD1B27" w:rsidRPr="00AD1B27" w14:paraId="51AEF029"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55DA7F0F" w14:textId="379BF343"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Közhatalmi bevételek</w:t>
                            </w:r>
                          </w:p>
                        </w:tc>
                        <w:tc>
                          <w:tcPr>
                            <w:tcW w:w="0" w:type="auto"/>
                            <w:hideMark/>
                          </w:tcPr>
                          <w:p w14:paraId="3A4944D5"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164,7</w:t>
                            </w:r>
                          </w:p>
                        </w:tc>
                        <w:tc>
                          <w:tcPr>
                            <w:tcW w:w="0" w:type="auto"/>
                            <w:hideMark/>
                          </w:tcPr>
                          <w:p w14:paraId="27E265D0"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316,3</w:t>
                            </w:r>
                          </w:p>
                        </w:tc>
                        <w:tc>
                          <w:tcPr>
                            <w:tcW w:w="0" w:type="auto"/>
                            <w:hideMark/>
                          </w:tcPr>
                          <w:p w14:paraId="3368AC83"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+92%</w:t>
                            </w:r>
                          </w:p>
                        </w:tc>
                      </w:tr>
                      <w:tr w:rsidR="00AD1B27" w:rsidRPr="00AD1B27" w14:paraId="26107411"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3F40352E" w14:textId="307FC0C3"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Működési bevételek</w:t>
                            </w:r>
                          </w:p>
                        </w:tc>
                        <w:tc>
                          <w:tcPr>
                            <w:tcW w:w="0" w:type="auto"/>
                            <w:hideMark/>
                          </w:tcPr>
                          <w:p w14:paraId="1D44E8D9"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41,8</w:t>
                            </w:r>
                          </w:p>
                        </w:tc>
                        <w:tc>
                          <w:tcPr>
                            <w:tcW w:w="0" w:type="auto"/>
                            <w:hideMark/>
                          </w:tcPr>
                          <w:p w14:paraId="77A59D14"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55,0</w:t>
                            </w:r>
                          </w:p>
                        </w:tc>
                        <w:tc>
                          <w:tcPr>
                            <w:tcW w:w="0" w:type="auto"/>
                            <w:hideMark/>
                          </w:tcPr>
                          <w:p w14:paraId="2787F6B6"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+32%</w:t>
                            </w:r>
                          </w:p>
                        </w:tc>
                      </w:tr>
                      <w:tr w:rsidR="00AD1B27" w:rsidRPr="00AD1B27" w14:paraId="33EBFD2C"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604182BF" w14:textId="1188F2C9"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Felhalmozási bevételek</w:t>
                            </w:r>
                          </w:p>
                        </w:tc>
                        <w:tc>
                          <w:tcPr>
                            <w:tcW w:w="0" w:type="auto"/>
                            <w:hideMark/>
                          </w:tcPr>
                          <w:p w14:paraId="4C41B9AB"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14,2</w:t>
                            </w:r>
                          </w:p>
                        </w:tc>
                        <w:tc>
                          <w:tcPr>
                            <w:tcW w:w="0" w:type="auto"/>
                            <w:hideMark/>
                          </w:tcPr>
                          <w:p w14:paraId="107CBEA0"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1,5</w:t>
                            </w:r>
                          </w:p>
                        </w:tc>
                        <w:tc>
                          <w:tcPr>
                            <w:tcW w:w="0" w:type="auto"/>
                            <w:hideMark/>
                          </w:tcPr>
                          <w:p w14:paraId="1CA9AA03"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-89%</w:t>
                            </w:r>
                          </w:p>
                        </w:tc>
                      </w:tr>
                      <w:tr w:rsidR="00AD1B27" w:rsidRPr="00AD1B27" w14:paraId="56F49E83"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7F5C50C8" w14:textId="14BECB79"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Átvett pénzeszközök</w:t>
                            </w:r>
                          </w:p>
                        </w:tc>
                        <w:tc>
                          <w:tcPr>
                            <w:tcW w:w="0" w:type="auto"/>
                            <w:hideMark/>
                          </w:tcPr>
                          <w:p w14:paraId="1393F3A8"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1,2</w:t>
                            </w:r>
                          </w:p>
                        </w:tc>
                        <w:tc>
                          <w:tcPr>
                            <w:tcW w:w="0" w:type="auto"/>
                            <w:hideMark/>
                          </w:tcPr>
                          <w:p w14:paraId="2DF73632"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7,1</w:t>
                            </w:r>
                          </w:p>
                        </w:tc>
                        <w:tc>
                          <w:tcPr>
                            <w:tcW w:w="0" w:type="auto"/>
                            <w:hideMark/>
                          </w:tcPr>
                          <w:p w14:paraId="7FE6DE8C"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+478%</w:t>
                            </w:r>
                          </w:p>
                        </w:tc>
                      </w:tr>
                      <w:tr w:rsidR="00AD1B27" w:rsidRPr="00AD1B27" w14:paraId="77C20183" w14:textId="77777777" w:rsidTr="00AD1B27">
                        <w:tc>
                          <w:tcPr>
                            <w:cnfStyle w:val="001000000000" w:firstRow="0" w:lastRow="0" w:firstColumn="1" w:lastColumn="0" w:oddVBand="0" w:evenVBand="0" w:oddHBand="0" w:evenHBand="0" w:firstRowFirstColumn="0" w:firstRowLastColumn="0" w:lastRowFirstColumn="0" w:lastRowLastColumn="0"/>
                            <w:tcW w:w="0" w:type="auto"/>
                            <w:hideMark/>
                          </w:tcPr>
                          <w:p w14:paraId="0171F8F6" w14:textId="77777777" w:rsidR="00AD1B27" w:rsidRPr="00AD1B27" w:rsidRDefault="00AD1B27" w:rsidP="00AD1B27">
                            <w:pPr>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Összes költségvetési bevétel</w:t>
                            </w:r>
                          </w:p>
                        </w:tc>
                        <w:tc>
                          <w:tcPr>
                            <w:tcW w:w="0" w:type="auto"/>
                            <w:hideMark/>
                          </w:tcPr>
                          <w:p w14:paraId="0C68A207"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270,9</w:t>
                            </w:r>
                          </w:p>
                        </w:tc>
                        <w:tc>
                          <w:tcPr>
                            <w:tcW w:w="0" w:type="auto"/>
                            <w:hideMark/>
                          </w:tcPr>
                          <w:p w14:paraId="251CA3EA"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429,1</w:t>
                            </w:r>
                          </w:p>
                        </w:tc>
                        <w:tc>
                          <w:tcPr>
                            <w:tcW w:w="0" w:type="auto"/>
                            <w:hideMark/>
                          </w:tcPr>
                          <w:p w14:paraId="56C8FDEB" w14:textId="77777777" w:rsidR="00AD1B27" w:rsidRPr="00AD1B27" w:rsidRDefault="00AD1B27" w:rsidP="00AD1B2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u-HU"/>
                                <w14:ligatures w14:val="none"/>
                              </w:rPr>
                            </w:pPr>
                            <w:r w:rsidRPr="00AD1B27">
                              <w:rPr>
                                <w:rFonts w:ascii="Times New Roman" w:eastAsia="Times New Roman" w:hAnsi="Times New Roman" w:cs="Times New Roman"/>
                                <w:kern w:val="0"/>
                                <w:sz w:val="20"/>
                                <w:szCs w:val="20"/>
                                <w:lang w:eastAsia="hu-HU"/>
                                <w14:ligatures w14:val="none"/>
                              </w:rPr>
                              <w:t>+58%</w:t>
                            </w:r>
                          </w:p>
                        </w:tc>
                      </w:tr>
                    </w:tbl>
                    <w:p w14:paraId="5144F456" w14:textId="77777777" w:rsidR="00AD1B27" w:rsidRDefault="00AD1B27" w:rsidP="00AD1B27">
                      <w:pPr>
                        <w:rPr>
                          <w:b/>
                          <w:bCs/>
                        </w:rPr>
                      </w:pPr>
                    </w:p>
                    <w:p w14:paraId="745E62F0" w14:textId="0C87D00B" w:rsidR="00AD1B27" w:rsidRPr="00AD1B27" w:rsidRDefault="00AD1B27" w:rsidP="00AD1B27">
                      <w:r w:rsidRPr="00AD1B27">
                        <w:rPr>
                          <w:b/>
                          <w:bCs/>
                        </w:rPr>
                        <w:t>A közhatalmi bevételek súlya a teljes költségvetési bevételeken belül 61 százalékról közel 74 százalékra nőtt. A helyi iparűzési adóból származó bevétel 164 milliárd forintról 311 milliárd forintra emelkedett, így a főváros pénzügyi mozgástere egyre inkább a budapesti gazdaság teljesítményétől függ.</w:t>
                      </w:r>
                    </w:p>
                    <w:p w14:paraId="640687CC" w14:textId="77777777" w:rsidR="00AD1B27" w:rsidRPr="00AD1B27" w:rsidRDefault="00AD1B27" w:rsidP="00AD1B27">
                      <w:r w:rsidRPr="00AD1B27">
                        <w:rPr>
                          <w:b/>
                          <w:bCs/>
                        </w:rPr>
                        <w:t>Ezzel párhuzamosan a fejlesztési célú állami források szinte teljesen eltűntek: a felhalmozási támogatások 19,9 milliárd forintról 2,6 milliárd forintra csökkentek. A bevételi oldal így egyre inkább működési és adójellegű forrásokra épül, miközben a beruházások külső finanszírozási háttere jelentősen szűkült.</w:t>
                      </w:r>
                    </w:p>
                    <w:p w14:paraId="69948BA0" w14:textId="77777777" w:rsidR="00AD1B27" w:rsidRDefault="00AD1B27" w:rsidP="00AD1B27"/>
                  </w:txbxContent>
                </v:textbox>
                <w10:wrap type="square" anchorx="margin" anchory="page"/>
              </v:shape>
            </w:pict>
          </mc:Fallback>
        </mc:AlternateContent>
      </w:r>
    </w:p>
    <w:sectPr w:rsidR="00AD1B27" w:rsidSect="009062EF">
      <w:footerReference w:type="default" r:id="rId10"/>
      <w:headerReference w:type="default" r:id="rId1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72544" w14:textId="77777777" w:rsidR="00D25D61" w:rsidRDefault="00D25D61" w:rsidP="00D07F0D">
      <w:pPr>
        <w:spacing w:after="0" w:line="240" w:lineRule="auto"/>
      </w:pPr>
      <w:r>
        <w:separator/>
      </w:r>
    </w:p>
  </w:endnote>
  <w:endnote w:type="continuationSeparator" w:id="0">
    <w:p w14:paraId="1D5A2892" w14:textId="77777777" w:rsidR="00D25D61" w:rsidRDefault="00D25D61" w:rsidP="00D07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299190"/>
      <w:docPartObj>
        <w:docPartGallery w:val="Page Numbers (Bottom of Page)"/>
        <w:docPartUnique/>
      </w:docPartObj>
    </w:sdtPr>
    <w:sdtContent>
      <w:p w14:paraId="732B9A44" w14:textId="7942DA6A" w:rsidR="00D07F0D" w:rsidRDefault="00D07F0D">
        <w:pPr>
          <w:pStyle w:val="llb"/>
          <w:jc w:val="right"/>
        </w:pPr>
        <w:r>
          <w:fldChar w:fldCharType="begin"/>
        </w:r>
        <w:r>
          <w:instrText>PAGE   \* MERGEFORMAT</w:instrText>
        </w:r>
        <w:r>
          <w:fldChar w:fldCharType="separate"/>
        </w:r>
        <w:r>
          <w:t>2</w:t>
        </w:r>
        <w:r>
          <w:fldChar w:fldCharType="end"/>
        </w:r>
      </w:p>
    </w:sdtContent>
  </w:sdt>
  <w:p w14:paraId="0F044982" w14:textId="77777777" w:rsidR="00D07F0D" w:rsidRDefault="00D07F0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01F58" w14:textId="77777777" w:rsidR="00D25D61" w:rsidRDefault="00D25D61" w:rsidP="00D07F0D">
      <w:pPr>
        <w:spacing w:after="0" w:line="240" w:lineRule="auto"/>
      </w:pPr>
      <w:r>
        <w:separator/>
      </w:r>
    </w:p>
  </w:footnote>
  <w:footnote w:type="continuationSeparator" w:id="0">
    <w:p w14:paraId="269FFA93" w14:textId="77777777" w:rsidR="00D25D61" w:rsidRDefault="00D25D61" w:rsidP="00D07F0D">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F2961"/>
    <w:multiLevelType w:val="hybridMultilevel"/>
    <w:tmpl w:val="1464C4BA"/>
    <w:lvl w:ilvl="0" w:tplc="ADFE559C">
      <w:numFmt w:val="bullet"/>
      <w:lvlText w:val="•"/>
      <w:lvlJc w:val="left"/>
      <w:pPr>
        <w:ind w:left="1065" w:hanging="705"/>
      </w:pPr>
      <w:rPr>
        <w:rFonts w:ascii="Aptos" w:eastAsiaTheme="minorHAnsi" w:hAnsi="Aptos"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3B027E31"/>
    <w:multiLevelType w:val="hybridMultilevel"/>
    <w:tmpl w:val="FEAE0434"/>
    <w:lvl w:ilvl="0" w:tplc="2064F112">
      <w:numFmt w:val="bullet"/>
      <w:lvlText w:val="-"/>
      <w:lvlJc w:val="left"/>
      <w:pPr>
        <w:ind w:left="720" w:hanging="360"/>
      </w:pPr>
      <w:rPr>
        <w:rFonts w:ascii="Aptos" w:eastAsiaTheme="minorHAnsi" w:hAnsi="Aptos"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BF90CE2"/>
    <w:multiLevelType w:val="hybridMultilevel"/>
    <w:tmpl w:val="583A0BD8"/>
    <w:lvl w:ilvl="0" w:tplc="E2F8D18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78495A"/>
    <w:multiLevelType w:val="hybridMultilevel"/>
    <w:tmpl w:val="68DE9C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DBC4530"/>
    <w:multiLevelType w:val="multilevel"/>
    <w:tmpl w:val="15DA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043789">
    <w:abstractNumId w:val="3"/>
  </w:num>
  <w:num w:numId="2" w16cid:durableId="1031539957">
    <w:abstractNumId w:val="0"/>
  </w:num>
  <w:num w:numId="3" w16cid:durableId="1416048849">
    <w:abstractNumId w:val="2"/>
  </w:num>
  <w:num w:numId="4" w16cid:durableId="1454206822">
    <w:abstractNumId w:val="4"/>
  </w:num>
  <w:num w:numId="5" w16cid:durableId="2057658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143"/>
    <w:rsid w:val="001E6BEB"/>
    <w:rsid w:val="001F10D0"/>
    <w:rsid w:val="00222F22"/>
    <w:rsid w:val="002A645A"/>
    <w:rsid w:val="00375E23"/>
    <w:rsid w:val="004C209A"/>
    <w:rsid w:val="00692EC1"/>
    <w:rsid w:val="007733A1"/>
    <w:rsid w:val="00872DBA"/>
    <w:rsid w:val="009062EF"/>
    <w:rsid w:val="00AD1B27"/>
    <w:rsid w:val="00C147CA"/>
    <w:rsid w:val="00CE0D90"/>
    <w:rsid w:val="00D07F0D"/>
    <w:rsid w:val="00D25D61"/>
    <w:rsid w:val="00D33143"/>
    <w:rsid w:val="00DD79B3"/>
    <w:rsid w:val="00E205C2"/>
    <w:rsid w:val="00F55A8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9339"/>
  <w15:chartTrackingRefBased/>
  <w15:docId w15:val="{E1080A53-9CE0-4E70-8AF8-5585BC47E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33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D33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unhideWhenUsed/>
    <w:qFormat/>
    <w:rsid w:val="00D33143"/>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D33143"/>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D33143"/>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D33143"/>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33143"/>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33143"/>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33143"/>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33143"/>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rsid w:val="00D33143"/>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rsid w:val="00D33143"/>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D33143"/>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D33143"/>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D3314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3314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3314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33143"/>
    <w:rPr>
      <w:rFonts w:eastAsiaTheme="majorEastAsia" w:cstheme="majorBidi"/>
      <w:color w:val="272727" w:themeColor="text1" w:themeTint="D8"/>
    </w:rPr>
  </w:style>
  <w:style w:type="paragraph" w:styleId="Cm">
    <w:name w:val="Title"/>
    <w:basedOn w:val="Norml"/>
    <w:next w:val="Norml"/>
    <w:link w:val="CmChar"/>
    <w:uiPriority w:val="10"/>
    <w:qFormat/>
    <w:rsid w:val="00D33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3314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33143"/>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3314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33143"/>
    <w:pPr>
      <w:spacing w:before="160"/>
      <w:jc w:val="center"/>
    </w:pPr>
    <w:rPr>
      <w:i/>
      <w:iCs/>
      <w:color w:val="404040" w:themeColor="text1" w:themeTint="BF"/>
    </w:rPr>
  </w:style>
  <w:style w:type="character" w:customStyle="1" w:styleId="IdzetChar">
    <w:name w:val="Idézet Char"/>
    <w:basedOn w:val="Bekezdsalapbettpusa"/>
    <w:link w:val="Idzet"/>
    <w:uiPriority w:val="29"/>
    <w:rsid w:val="00D33143"/>
    <w:rPr>
      <w:i/>
      <w:iCs/>
      <w:color w:val="404040" w:themeColor="text1" w:themeTint="BF"/>
    </w:rPr>
  </w:style>
  <w:style w:type="paragraph" w:styleId="Listaszerbekezds">
    <w:name w:val="List Paragraph"/>
    <w:basedOn w:val="Norml"/>
    <w:uiPriority w:val="34"/>
    <w:qFormat/>
    <w:rsid w:val="00D33143"/>
    <w:pPr>
      <w:ind w:left="720"/>
      <w:contextualSpacing/>
    </w:pPr>
  </w:style>
  <w:style w:type="character" w:styleId="Erskiemels">
    <w:name w:val="Intense Emphasis"/>
    <w:basedOn w:val="Bekezdsalapbettpusa"/>
    <w:uiPriority w:val="21"/>
    <w:qFormat/>
    <w:rsid w:val="00D33143"/>
    <w:rPr>
      <w:i/>
      <w:iCs/>
      <w:color w:val="0F4761" w:themeColor="accent1" w:themeShade="BF"/>
    </w:rPr>
  </w:style>
  <w:style w:type="paragraph" w:styleId="Kiemeltidzet">
    <w:name w:val="Intense Quote"/>
    <w:basedOn w:val="Norml"/>
    <w:next w:val="Norml"/>
    <w:link w:val="KiemeltidzetChar"/>
    <w:uiPriority w:val="30"/>
    <w:qFormat/>
    <w:rsid w:val="00D33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33143"/>
    <w:rPr>
      <w:i/>
      <w:iCs/>
      <w:color w:val="0F4761" w:themeColor="accent1" w:themeShade="BF"/>
    </w:rPr>
  </w:style>
  <w:style w:type="character" w:styleId="Ershivatkozs">
    <w:name w:val="Intense Reference"/>
    <w:basedOn w:val="Bekezdsalapbettpusa"/>
    <w:uiPriority w:val="32"/>
    <w:qFormat/>
    <w:rsid w:val="00D33143"/>
    <w:rPr>
      <w:b/>
      <w:bCs/>
      <w:smallCaps/>
      <w:color w:val="0F4761" w:themeColor="accent1" w:themeShade="BF"/>
      <w:spacing w:val="5"/>
    </w:rPr>
  </w:style>
  <w:style w:type="table" w:styleId="Rcsostblzat">
    <w:name w:val="Table Grid"/>
    <w:basedOn w:val="Normltblzat"/>
    <w:uiPriority w:val="59"/>
    <w:rsid w:val="00D33143"/>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D07F0D"/>
    <w:pPr>
      <w:tabs>
        <w:tab w:val="center" w:pos="4536"/>
        <w:tab w:val="right" w:pos="9072"/>
      </w:tabs>
      <w:spacing w:after="0" w:line="240" w:lineRule="auto"/>
    </w:pPr>
  </w:style>
  <w:style w:type="character" w:customStyle="1" w:styleId="lfejChar">
    <w:name w:val="Élőfej Char"/>
    <w:basedOn w:val="Bekezdsalapbettpusa"/>
    <w:link w:val="lfej"/>
    <w:uiPriority w:val="99"/>
    <w:rsid w:val="00D07F0D"/>
  </w:style>
  <w:style w:type="paragraph" w:styleId="llb">
    <w:name w:val="footer"/>
    <w:basedOn w:val="Norml"/>
    <w:link w:val="llbChar"/>
    <w:uiPriority w:val="99"/>
    <w:unhideWhenUsed/>
    <w:rsid w:val="00D07F0D"/>
    <w:pPr>
      <w:tabs>
        <w:tab w:val="center" w:pos="4536"/>
        <w:tab w:val="right" w:pos="9072"/>
      </w:tabs>
      <w:spacing w:after="0" w:line="240" w:lineRule="auto"/>
    </w:pPr>
  </w:style>
  <w:style w:type="character" w:customStyle="1" w:styleId="llbChar">
    <w:name w:val="Élőláb Char"/>
    <w:basedOn w:val="Bekezdsalapbettpusa"/>
    <w:link w:val="llb"/>
    <w:uiPriority w:val="99"/>
    <w:rsid w:val="00D07F0D"/>
  </w:style>
  <w:style w:type="table" w:styleId="Tblzatrcsos1vilgos1jellszn">
    <w:name w:val="Grid Table 1 Light Accent 1"/>
    <w:basedOn w:val="Normltblzat"/>
    <w:uiPriority w:val="46"/>
    <w:rsid w:val="009062EF"/>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Nincstrkz">
    <w:name w:val="No Spacing"/>
    <w:link w:val="NincstrkzChar"/>
    <w:uiPriority w:val="1"/>
    <w:qFormat/>
    <w:rsid w:val="009062EF"/>
    <w:pPr>
      <w:spacing w:after="0" w:line="240" w:lineRule="auto"/>
    </w:pPr>
    <w:rPr>
      <w:rFonts w:eastAsiaTheme="minorEastAsia"/>
      <w:kern w:val="0"/>
      <w:lang w:eastAsia="hu-HU"/>
      <w14:ligatures w14:val="none"/>
    </w:rPr>
  </w:style>
  <w:style w:type="character" w:customStyle="1" w:styleId="NincstrkzChar">
    <w:name w:val="Nincs térköz Char"/>
    <w:basedOn w:val="Bekezdsalapbettpusa"/>
    <w:link w:val="Nincstrkz"/>
    <w:uiPriority w:val="1"/>
    <w:rsid w:val="009062EF"/>
    <w:rPr>
      <w:rFonts w:eastAsiaTheme="minorEastAsia"/>
      <w:kern w:val="0"/>
      <w:lang w:eastAsia="hu-HU"/>
      <w14:ligatures w14:val="none"/>
    </w:rPr>
  </w:style>
  <w:style w:type="paragraph" w:styleId="NormlWeb">
    <w:name w:val="Normal (Web)"/>
    <w:basedOn w:val="Norml"/>
    <w:uiPriority w:val="99"/>
    <w:semiHidden/>
    <w:unhideWhenUsed/>
    <w:rsid w:val="00AD1B2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98817">
      <w:bodyDiv w:val="1"/>
      <w:marLeft w:val="0"/>
      <w:marRight w:val="0"/>
      <w:marTop w:val="0"/>
      <w:marBottom w:val="0"/>
      <w:divBdr>
        <w:top w:val="none" w:sz="0" w:space="0" w:color="auto"/>
        <w:left w:val="none" w:sz="0" w:space="0" w:color="auto"/>
        <w:bottom w:val="none" w:sz="0" w:space="0" w:color="auto"/>
        <w:right w:val="none" w:sz="0" w:space="0" w:color="auto"/>
      </w:divBdr>
      <w:divsChild>
        <w:div w:id="325062450">
          <w:marLeft w:val="0"/>
          <w:marRight w:val="0"/>
          <w:marTop w:val="0"/>
          <w:marBottom w:val="0"/>
          <w:divBdr>
            <w:top w:val="none" w:sz="0" w:space="0" w:color="auto"/>
            <w:left w:val="none" w:sz="0" w:space="0" w:color="auto"/>
            <w:bottom w:val="none" w:sz="0" w:space="0" w:color="auto"/>
            <w:right w:val="none" w:sz="0" w:space="0" w:color="auto"/>
          </w:divBdr>
        </w:div>
      </w:divsChild>
    </w:div>
    <w:div w:id="485902231">
      <w:bodyDiv w:val="1"/>
      <w:marLeft w:val="0"/>
      <w:marRight w:val="0"/>
      <w:marTop w:val="0"/>
      <w:marBottom w:val="0"/>
      <w:divBdr>
        <w:top w:val="none" w:sz="0" w:space="0" w:color="auto"/>
        <w:left w:val="none" w:sz="0" w:space="0" w:color="auto"/>
        <w:bottom w:val="none" w:sz="0" w:space="0" w:color="auto"/>
        <w:right w:val="none" w:sz="0" w:space="0" w:color="auto"/>
      </w:divBdr>
      <w:divsChild>
        <w:div w:id="1743794727">
          <w:marLeft w:val="0"/>
          <w:marRight w:val="0"/>
          <w:marTop w:val="0"/>
          <w:marBottom w:val="0"/>
          <w:divBdr>
            <w:top w:val="none" w:sz="0" w:space="0" w:color="auto"/>
            <w:left w:val="none" w:sz="0" w:space="0" w:color="auto"/>
            <w:bottom w:val="none" w:sz="0" w:space="0" w:color="auto"/>
            <w:right w:val="none" w:sz="0" w:space="0" w:color="auto"/>
          </w:divBdr>
          <w:divsChild>
            <w:div w:id="1619144518">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8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0435274">
      <w:bodyDiv w:val="1"/>
      <w:marLeft w:val="0"/>
      <w:marRight w:val="0"/>
      <w:marTop w:val="0"/>
      <w:marBottom w:val="0"/>
      <w:divBdr>
        <w:top w:val="none" w:sz="0" w:space="0" w:color="auto"/>
        <w:left w:val="none" w:sz="0" w:space="0" w:color="auto"/>
        <w:bottom w:val="none" w:sz="0" w:space="0" w:color="auto"/>
        <w:right w:val="none" w:sz="0" w:space="0" w:color="auto"/>
      </w:divBdr>
      <w:divsChild>
        <w:div w:id="1433092408">
          <w:marLeft w:val="0"/>
          <w:marRight w:val="0"/>
          <w:marTop w:val="0"/>
          <w:marBottom w:val="0"/>
          <w:divBdr>
            <w:top w:val="none" w:sz="0" w:space="0" w:color="auto"/>
            <w:left w:val="none" w:sz="0" w:space="0" w:color="auto"/>
            <w:bottom w:val="none" w:sz="0" w:space="0" w:color="auto"/>
            <w:right w:val="none" w:sz="0" w:space="0" w:color="auto"/>
          </w:divBdr>
        </w:div>
      </w:divsChild>
    </w:div>
    <w:div w:id="675153174">
      <w:bodyDiv w:val="1"/>
      <w:marLeft w:val="0"/>
      <w:marRight w:val="0"/>
      <w:marTop w:val="0"/>
      <w:marBottom w:val="0"/>
      <w:divBdr>
        <w:top w:val="none" w:sz="0" w:space="0" w:color="auto"/>
        <w:left w:val="none" w:sz="0" w:space="0" w:color="auto"/>
        <w:bottom w:val="none" w:sz="0" w:space="0" w:color="auto"/>
        <w:right w:val="none" w:sz="0" w:space="0" w:color="auto"/>
      </w:divBdr>
      <w:divsChild>
        <w:div w:id="961497714">
          <w:marLeft w:val="0"/>
          <w:marRight w:val="0"/>
          <w:marTop w:val="0"/>
          <w:marBottom w:val="0"/>
          <w:divBdr>
            <w:top w:val="none" w:sz="0" w:space="0" w:color="auto"/>
            <w:left w:val="none" w:sz="0" w:space="0" w:color="auto"/>
            <w:bottom w:val="none" w:sz="0" w:space="0" w:color="auto"/>
            <w:right w:val="none" w:sz="0" w:space="0" w:color="auto"/>
          </w:divBdr>
        </w:div>
      </w:divsChild>
    </w:div>
    <w:div w:id="921328446">
      <w:bodyDiv w:val="1"/>
      <w:marLeft w:val="0"/>
      <w:marRight w:val="0"/>
      <w:marTop w:val="0"/>
      <w:marBottom w:val="0"/>
      <w:divBdr>
        <w:top w:val="none" w:sz="0" w:space="0" w:color="auto"/>
        <w:left w:val="none" w:sz="0" w:space="0" w:color="auto"/>
        <w:bottom w:val="none" w:sz="0" w:space="0" w:color="auto"/>
        <w:right w:val="none" w:sz="0" w:space="0" w:color="auto"/>
      </w:divBdr>
      <w:divsChild>
        <w:div w:id="914514358">
          <w:marLeft w:val="0"/>
          <w:marRight w:val="0"/>
          <w:marTop w:val="0"/>
          <w:marBottom w:val="0"/>
          <w:divBdr>
            <w:top w:val="none" w:sz="0" w:space="0" w:color="auto"/>
            <w:left w:val="none" w:sz="0" w:space="0" w:color="auto"/>
            <w:bottom w:val="none" w:sz="0" w:space="0" w:color="auto"/>
            <w:right w:val="none" w:sz="0" w:space="0" w:color="auto"/>
          </w:divBdr>
          <w:divsChild>
            <w:div w:id="1786805878">
              <w:blockQuote w:val="1"/>
              <w:marLeft w:val="720"/>
              <w:marRight w:val="720"/>
              <w:marTop w:val="100"/>
              <w:marBottom w:val="100"/>
              <w:divBdr>
                <w:top w:val="none" w:sz="0" w:space="0" w:color="auto"/>
                <w:left w:val="none" w:sz="0" w:space="0" w:color="auto"/>
                <w:bottom w:val="none" w:sz="0" w:space="0" w:color="auto"/>
                <w:right w:val="none" w:sz="0" w:space="0" w:color="auto"/>
              </w:divBdr>
            </w:div>
            <w:div w:id="479004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57403084">
      <w:bodyDiv w:val="1"/>
      <w:marLeft w:val="0"/>
      <w:marRight w:val="0"/>
      <w:marTop w:val="0"/>
      <w:marBottom w:val="0"/>
      <w:divBdr>
        <w:top w:val="none" w:sz="0" w:space="0" w:color="auto"/>
        <w:left w:val="none" w:sz="0" w:space="0" w:color="auto"/>
        <w:bottom w:val="none" w:sz="0" w:space="0" w:color="auto"/>
        <w:right w:val="none" w:sz="0" w:space="0" w:color="auto"/>
      </w:divBdr>
      <w:divsChild>
        <w:div w:id="2131044470">
          <w:marLeft w:val="0"/>
          <w:marRight w:val="0"/>
          <w:marTop w:val="0"/>
          <w:marBottom w:val="0"/>
          <w:divBdr>
            <w:top w:val="none" w:sz="0" w:space="0" w:color="auto"/>
            <w:left w:val="none" w:sz="0" w:space="0" w:color="auto"/>
            <w:bottom w:val="none" w:sz="0" w:space="0" w:color="auto"/>
            <w:right w:val="none" w:sz="0" w:space="0" w:color="auto"/>
          </w:divBdr>
        </w:div>
      </w:divsChild>
    </w:div>
    <w:div w:id="1823768221">
      <w:bodyDiv w:val="1"/>
      <w:marLeft w:val="0"/>
      <w:marRight w:val="0"/>
      <w:marTop w:val="0"/>
      <w:marBottom w:val="0"/>
      <w:divBdr>
        <w:top w:val="none" w:sz="0" w:space="0" w:color="auto"/>
        <w:left w:val="none" w:sz="0" w:space="0" w:color="auto"/>
        <w:bottom w:val="none" w:sz="0" w:space="0" w:color="auto"/>
        <w:right w:val="none" w:sz="0" w:space="0" w:color="auto"/>
      </w:divBdr>
      <w:divsChild>
        <w:div w:id="1905801079">
          <w:marLeft w:val="0"/>
          <w:marRight w:val="0"/>
          <w:marTop w:val="0"/>
          <w:marBottom w:val="0"/>
          <w:divBdr>
            <w:top w:val="none" w:sz="0" w:space="0" w:color="auto"/>
            <w:left w:val="none" w:sz="0" w:space="0" w:color="auto"/>
            <w:bottom w:val="none" w:sz="0" w:space="0" w:color="auto"/>
            <w:right w:val="none" w:sz="0" w:space="0" w:color="auto"/>
          </w:divBdr>
        </w:div>
      </w:divsChild>
    </w:div>
    <w:div w:id="187225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chart" Target="charts/chart1.xml"/><Relationship Id="rId13"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iss.ambrus\Documents\K&#246;lts&#233;gvet&#233;si%20id&#337;soros%20t&#225;bl&#225;k%20(00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Működési k</a:t>
            </a:r>
            <a:r>
              <a:rPr lang="en-US"/>
              <a:t>öltségvetési bevételek és kiadások alakulása (2018-202</a:t>
            </a:r>
            <a:r>
              <a:rPr lang="hu-HU"/>
              <a:t>5</a:t>
            </a:r>
            <a:r>
              <a:rPr lang="en-US"/>
              <a:t>)</a:t>
            </a:r>
          </a:p>
        </c:rich>
      </c:tx>
      <c:layout>
        <c:manualLayout>
          <c:xMode val="edge"/>
          <c:yMode val="edge"/>
          <c:x val="0.10859475218658893"/>
          <c:y val="3.40909090909090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tx>
            <c:strRef>
              <c:f>'Ktsgvetési bev-kiad egyenleg'!$B$1</c:f>
              <c:strCache>
                <c:ptCount val="1"/>
                <c:pt idx="0">
                  <c:v>Költségvetési bevételek</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'Ktsgvetési bev-kiad egyenleg'!$A$3:$A$9</c:f>
              <c:strCache>
                <c:ptCount val="7"/>
                <c:pt idx="0">
                  <c:v>2019. év</c:v>
                </c:pt>
                <c:pt idx="1">
                  <c:v>2020. év</c:v>
                </c:pt>
                <c:pt idx="2">
                  <c:v>2021. év</c:v>
                </c:pt>
                <c:pt idx="3">
                  <c:v>2022. év</c:v>
                </c:pt>
                <c:pt idx="4">
                  <c:v>2023. év</c:v>
                </c:pt>
                <c:pt idx="5">
                  <c:v>2024. év</c:v>
                </c:pt>
                <c:pt idx="6">
                  <c:v>2025. év</c:v>
                </c:pt>
              </c:strCache>
              <c:extLst/>
            </c:strRef>
          </c:cat>
          <c:val>
            <c:numRef>
              <c:f>'Ktsgvetési bev-kiad egyenleg'!$B$3:$B$9</c:f>
              <c:numCache>
                <c:formatCode>#\ ##0.0</c:formatCode>
                <c:ptCount val="7"/>
                <c:pt idx="0">
                  <c:v>270.92</c:v>
                </c:pt>
                <c:pt idx="1">
                  <c:v>232.44</c:v>
                </c:pt>
                <c:pt idx="2">
                  <c:v>254.45</c:v>
                </c:pt>
                <c:pt idx="3">
                  <c:v>290.56</c:v>
                </c:pt>
                <c:pt idx="4">
                  <c:v>388.58</c:v>
                </c:pt>
                <c:pt idx="5">
                  <c:v>418.5</c:v>
                </c:pt>
                <c:pt idx="6">
                  <c:v>423.3</c:v>
                </c:pt>
              </c:numCache>
              <c:extLst/>
            </c:numRef>
          </c:val>
          <c:smooth val="0"/>
          <c:extLst>
            <c:ext xmlns:c16="http://schemas.microsoft.com/office/drawing/2014/chart" uri="{C3380CC4-5D6E-409C-BE32-E72D297353CC}">
              <c16:uniqueId val="{00000000-1600-49CA-9848-A9F60628A106}"/>
            </c:ext>
          </c:extLst>
        </c:ser>
        <c:ser>
          <c:idx val="1"/>
          <c:order val="1"/>
          <c:tx>
            <c:strRef>
              <c:f>'Ktsgvetési bev-kiad egyenleg'!$C$1</c:f>
              <c:strCache>
                <c:ptCount val="1"/>
                <c:pt idx="0">
                  <c:v>Költségvetési kiadások</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'Ktsgvetési bev-kiad egyenleg'!$A$3:$A$9</c:f>
              <c:strCache>
                <c:ptCount val="7"/>
                <c:pt idx="0">
                  <c:v>2019. év</c:v>
                </c:pt>
                <c:pt idx="1">
                  <c:v>2020. év</c:v>
                </c:pt>
                <c:pt idx="2">
                  <c:v>2021. év</c:v>
                </c:pt>
                <c:pt idx="3">
                  <c:v>2022. év</c:v>
                </c:pt>
                <c:pt idx="4">
                  <c:v>2023. év</c:v>
                </c:pt>
                <c:pt idx="5">
                  <c:v>2024. év</c:v>
                </c:pt>
                <c:pt idx="6">
                  <c:v>2025. év</c:v>
                </c:pt>
              </c:strCache>
              <c:extLst/>
            </c:strRef>
          </c:cat>
          <c:val>
            <c:numRef>
              <c:f>'Ktsgvetési bev-kiad egyenleg'!$C$3:$C$9</c:f>
              <c:numCache>
                <c:formatCode>#\ ##0.0</c:formatCode>
                <c:ptCount val="7"/>
                <c:pt idx="0">
                  <c:v>260.83</c:v>
                </c:pt>
                <c:pt idx="1">
                  <c:v>320.25</c:v>
                </c:pt>
                <c:pt idx="2">
                  <c:v>317.89</c:v>
                </c:pt>
                <c:pt idx="3">
                  <c:v>372.67</c:v>
                </c:pt>
                <c:pt idx="4">
                  <c:v>392.6</c:v>
                </c:pt>
                <c:pt idx="5">
                  <c:v>379.6</c:v>
                </c:pt>
                <c:pt idx="6">
                  <c:v>439</c:v>
                </c:pt>
              </c:numCache>
              <c:extLst/>
            </c:numRef>
          </c:val>
          <c:smooth val="0"/>
          <c:extLst>
            <c:ext xmlns:c16="http://schemas.microsoft.com/office/drawing/2014/chart" uri="{C3380CC4-5D6E-409C-BE32-E72D297353CC}">
              <c16:uniqueId val="{00000001-1600-49CA-9848-A9F60628A106}"/>
            </c:ext>
          </c:extLst>
        </c:ser>
        <c:dLbls>
          <c:dLblPos val="ctr"/>
          <c:showLegendKey val="0"/>
          <c:showVal val="1"/>
          <c:showCatName val="0"/>
          <c:showSerName val="0"/>
          <c:showPercent val="0"/>
          <c:showBubbleSize val="0"/>
        </c:dLbls>
        <c:smooth val="0"/>
        <c:axId val="813742848"/>
        <c:axId val="813739248"/>
      </c:lineChart>
      <c:catAx>
        <c:axId val="81374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813739248"/>
        <c:crosses val="autoZero"/>
        <c:auto val="1"/>
        <c:lblAlgn val="ctr"/>
        <c:lblOffset val="100"/>
        <c:noMultiLvlLbl val="0"/>
      </c:catAx>
      <c:valAx>
        <c:axId val="813739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u-HU"/>
                  <a:t>milliárd Ft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hu-HU"/>
            </a:p>
          </c:txPr>
        </c:title>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813742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E456C2-32A9-4871-B420-35A325887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11</Pages>
  <Words>3078</Words>
  <Characters>21244</Characters>
  <Application>Microsoft Office Word</Application>
  <DocSecurity>0</DocSecurity>
  <Lines>177</Lines>
  <Paragraphs>48</Paragraphs>
  <ScaleCrop>false</ScaleCrop>
  <HeadingPairs>
    <vt:vector size="2" baseType="variant">
      <vt:variant>
        <vt:lpstr>Cím</vt:lpstr>
      </vt:variant>
      <vt:variant>
        <vt:i4>1</vt:i4>
      </vt:variant>
    </vt:vector>
  </HeadingPairs>
  <TitlesOfParts>
    <vt:vector size="1" baseType="lpstr">
      <vt:lpstr>A FŐVÁROSI ÖNKORMÁNYZAT KIADÁSAINAK ALAKULÁSA 2019 ÉS 2025 KÖZÖTT</vt:lpstr>
    </vt:vector>
  </TitlesOfParts>
  <Company/>
  <LinksUpToDate>false</LinksUpToDate>
  <CharactersWithSpaces>24274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FŐVÁROSI ÖNKORMÁNYZAT KIADÁSAINAK ALAKULÁSA 2019 ÉS 2025 KÖZÖTT</dc:title>
  <dc:subject/>
  <dc:creator>Kiss Ambrus</dc:creator>
  <cp:keywords/>
  <dc:description/>
  <cp:lastModifiedBy>Kiss Ambrus</cp:lastModifiedBy>
  <cp:revision>7</cp:revision>
  <cp:lastPrinted>2026-09-29T13:54:00Z</cp:lastPrinted>
  <dcterms:created xsi:type="dcterms:W3CDTF">2026-09-29T09:50:00Z</dcterms:created>
  <dcterms:modified xsi:type="dcterms:W3CDTF">2026-09-30T15:41:00Z</dcterms:modified>
</cp:coreProperties>
</file>