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83" w:rsidRPr="006113EB" w:rsidRDefault="006113EB" w:rsidP="00CE0953">
      <w:pPr>
        <w:jc w:val="center"/>
        <w:rPr>
          <w:b/>
          <w:lang w:val="hu-HU"/>
        </w:rPr>
      </w:pPr>
      <w:r w:rsidRPr="006113EB">
        <w:rPr>
          <w:b/>
          <w:lang w:val="hu-HU"/>
        </w:rPr>
        <w:t xml:space="preserve">Lezárul a </w:t>
      </w:r>
      <w:r w:rsidR="002B1A83" w:rsidRPr="006113EB">
        <w:rPr>
          <w:b/>
          <w:lang w:val="hu-HU"/>
        </w:rPr>
        <w:t xml:space="preserve">CATCH-MR </w:t>
      </w:r>
      <w:r w:rsidRPr="006113EB">
        <w:rPr>
          <w:b/>
          <w:lang w:val="hu-HU"/>
        </w:rPr>
        <w:t>projekt: kezdődhet a megvalósítás</w:t>
      </w:r>
    </w:p>
    <w:p w:rsidR="009808A0" w:rsidRPr="002B1A83" w:rsidRDefault="009808A0" w:rsidP="00DC6A9A">
      <w:pPr>
        <w:jc w:val="both"/>
        <w:rPr>
          <w:lang w:val="hu-HU"/>
        </w:rPr>
      </w:pPr>
    </w:p>
    <w:p w:rsidR="009808A0" w:rsidRPr="002B1A83" w:rsidRDefault="002B1A83" w:rsidP="00DC6A9A">
      <w:pPr>
        <w:jc w:val="both"/>
        <w:rPr>
          <w:lang w:val="hu-HU"/>
        </w:rPr>
      </w:pPr>
      <w:r w:rsidRPr="00DC6A9A">
        <w:rPr>
          <w:lang w:val="hu-HU"/>
        </w:rPr>
        <w:t>Végéhez ért a CATCH-MR („A nagyvárosi régiók közlekedési kihívásainak kooperatív megközelítései”) nemzetközi együttműködési projekt, melynek keretében hét európai nagyvárosi régió – Oslo, Göteborg, Berlin, Bécs, Ljubljana, Budapest és Róma – szakemberei cserélték ki tapasztalataikat és bevált megoldásaikat a fenntartható közlekedés területén.</w:t>
      </w:r>
      <w:r w:rsidR="006113EB" w:rsidRPr="00DC6A9A">
        <w:rPr>
          <w:lang w:val="hu-HU"/>
        </w:rPr>
        <w:t xml:space="preserve"> </w:t>
      </w:r>
      <w:r w:rsidR="006770E8">
        <w:rPr>
          <w:lang w:val="hu-HU"/>
        </w:rPr>
        <w:t xml:space="preserve">A projektet az Európai Unió finanszírozta az INTERREG IVC program keretében. </w:t>
      </w:r>
      <w:r w:rsidR="006113EB" w:rsidRPr="00DC6A9A">
        <w:rPr>
          <w:lang w:val="hu-HU"/>
        </w:rPr>
        <w:t>A magyarországi partnerek – Budapest Főváros Önkormányzata és a BKK – szemináriumot rendeztek a projekt eredményeiről és budapesti hasznosításukról.</w:t>
      </w:r>
    </w:p>
    <w:p w:rsidR="009808A0" w:rsidRPr="002B1A83" w:rsidRDefault="009808A0" w:rsidP="00DC6A9A">
      <w:pPr>
        <w:jc w:val="both"/>
        <w:rPr>
          <w:lang w:val="hu-HU"/>
        </w:rPr>
      </w:pPr>
    </w:p>
    <w:p w:rsidR="009808A0" w:rsidRDefault="007D375F" w:rsidP="00DC6A9A">
      <w:pPr>
        <w:jc w:val="both"/>
        <w:rPr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771775" cy="2085975"/>
            <wp:effectExtent l="19050" t="0" r="9525" b="0"/>
            <wp:wrapSquare wrapText="bothSides"/>
            <wp:docPr id="7" name="Kép 2" descr="P1070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709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AAF" w:rsidRPr="00A14AAF">
        <w:rPr>
          <w:lang w:val="hu-HU"/>
        </w:rPr>
        <w:t xml:space="preserve"> </w:t>
      </w:r>
      <w:r w:rsidR="00692D3C">
        <w:rPr>
          <w:lang w:val="hu-HU"/>
        </w:rPr>
        <w:t>A</w:t>
      </w:r>
      <w:r w:rsidR="00692D3C" w:rsidRPr="002B1A83">
        <w:rPr>
          <w:lang w:val="hu-HU"/>
        </w:rPr>
        <w:t xml:space="preserve"> közös munk</w:t>
      </w:r>
      <w:r w:rsidR="006770E8">
        <w:rPr>
          <w:lang w:val="hu-HU"/>
        </w:rPr>
        <w:t>a eredményeit</w:t>
      </w:r>
      <w:r w:rsidR="00692D3C" w:rsidRPr="002B1A83">
        <w:rPr>
          <w:lang w:val="hu-HU"/>
        </w:rPr>
        <w:t xml:space="preserve"> </w:t>
      </w:r>
      <w:r w:rsidR="002B1A83" w:rsidRPr="002B1A83">
        <w:rPr>
          <w:lang w:val="hu-HU"/>
        </w:rPr>
        <w:t xml:space="preserve">Gertheis Antal, a Városkutatás Kft. szakértője </w:t>
      </w:r>
      <w:r w:rsidR="00692D3C">
        <w:rPr>
          <w:lang w:val="hu-HU"/>
        </w:rPr>
        <w:t>mutatta be</w:t>
      </w:r>
      <w:r w:rsidR="002B1A83" w:rsidRPr="002B1A83">
        <w:rPr>
          <w:lang w:val="hu-HU"/>
        </w:rPr>
        <w:t xml:space="preserve">, </w:t>
      </w:r>
      <w:r w:rsidR="00692D3C">
        <w:rPr>
          <w:lang w:val="hu-HU"/>
        </w:rPr>
        <w:t>felhívva a figyelmet néhány előremutató</w:t>
      </w:r>
      <w:r w:rsidR="002B1A83" w:rsidRPr="002B1A83">
        <w:rPr>
          <w:lang w:val="hu-HU"/>
        </w:rPr>
        <w:t xml:space="preserve"> megoldás</w:t>
      </w:r>
      <w:r w:rsidR="00692D3C">
        <w:rPr>
          <w:lang w:val="hu-HU"/>
        </w:rPr>
        <w:t>ra</w:t>
      </w:r>
      <w:r w:rsidR="002B1A83" w:rsidRPr="002B1A83">
        <w:rPr>
          <w:lang w:val="hu-HU"/>
        </w:rPr>
        <w:t xml:space="preserve"> a közlekedés- és várostervezés összehangolása, a közösségi közlekedés </w:t>
      </w:r>
      <w:r w:rsidR="006770E8">
        <w:rPr>
          <w:lang w:val="hu-HU"/>
        </w:rPr>
        <w:t>használatának ösztönzése</w:t>
      </w:r>
      <w:r w:rsidR="002B1A83" w:rsidRPr="002B1A83">
        <w:rPr>
          <w:lang w:val="hu-HU"/>
        </w:rPr>
        <w:t>, valamint a megújuló energiaforrások felhasználása területén.</w:t>
      </w:r>
      <w:r w:rsidR="006113EB">
        <w:rPr>
          <w:lang w:val="hu-HU"/>
        </w:rPr>
        <w:t xml:space="preserve"> </w:t>
      </w:r>
      <w:r w:rsidR="00692D3C">
        <w:rPr>
          <w:lang w:val="hu-HU"/>
        </w:rPr>
        <w:t>A város és térsége összehangolt tervezésére például egészen eltérő modellek működnek a szigorúan hierarchikus Berlin–brandenburgitól az alulról szerveződő, folyamatos egyeztetéseken alapuló göteborgiig, az azonban mindegyikre jellemző, hogy a városrégió közös problémáira közösen próbálnak választ adni. A közösségi közlekedés használatát ösztönző megoldások közül a P+R parkolók fejlesztése népszerű lépés, ugyanakkor megfontolt tervezésre van szükség, hogy a kombinált utazás véletlenül se váljon a közösségi közlekedés versenytársává</w:t>
      </w:r>
      <w:r w:rsidR="006770E8">
        <w:rPr>
          <w:lang w:val="hu-HU"/>
        </w:rPr>
        <w:t>. A P+R fejlesztéseknél arra is figyelni kell, hogy</w:t>
      </w:r>
      <w:r w:rsidR="009C2CED">
        <w:rPr>
          <w:lang w:val="hu-HU"/>
        </w:rPr>
        <w:t xml:space="preserve"> gyakran nem ez a leg</w:t>
      </w:r>
      <w:r w:rsidR="006770E8">
        <w:rPr>
          <w:lang w:val="hu-HU"/>
        </w:rPr>
        <w:t>költség</w:t>
      </w:r>
      <w:r w:rsidR="009C2CED">
        <w:rPr>
          <w:lang w:val="hu-HU"/>
        </w:rPr>
        <w:t>hatékonyabb eszköz a cél elérésére</w:t>
      </w:r>
      <w:r w:rsidR="00692D3C">
        <w:rPr>
          <w:lang w:val="hu-HU"/>
        </w:rPr>
        <w:t>.</w:t>
      </w:r>
      <w:r w:rsidR="009C2CED">
        <w:rPr>
          <w:lang w:val="hu-HU"/>
        </w:rPr>
        <w:t xml:space="preserve"> A partnervárosok közül kettő is rendelkezik tapasztalatokkal a behajtási díj területén: Oslóban 1990 óta működik a rendszer közlekedési beruházások finanszírozása céljából, míg Göteborgban 2013 elején vezetik be kettős – forgalomszabályozási és finanszírozási – céllal. Az alternatív üzemanyagok és hajtásrendszerek terén jelenleg számos megoldás versenyez a biogáztól az elektromos hajtáson át a hidrogénig, de még egyik sem terjedt el tömeges mértékben.</w:t>
      </w:r>
      <w:r w:rsidR="006A0510">
        <w:rPr>
          <w:lang w:val="hu-HU"/>
        </w:rPr>
        <w:t xml:space="preserve"> Az eredmények részletesebben is megismerhetők a projekt keretében készült </w:t>
      </w:r>
      <w:hyperlink r:id="rId8" w:history="1">
        <w:r w:rsidR="006A0510" w:rsidRPr="0072286A">
          <w:rPr>
            <w:rStyle w:val="Hiperhivatkozs"/>
            <w:lang w:val="hu-HU"/>
          </w:rPr>
          <w:t>Útmutató</w:t>
        </w:r>
        <w:r w:rsidR="006A0510" w:rsidRPr="0072286A">
          <w:rPr>
            <w:rStyle w:val="Hiperhivatkozs"/>
            <w:lang w:val="hu-HU"/>
          </w:rPr>
          <w:t>b</w:t>
        </w:r>
        <w:r w:rsidR="006A0510" w:rsidRPr="0072286A">
          <w:rPr>
            <w:rStyle w:val="Hiperhivatkozs"/>
            <w:lang w:val="hu-HU"/>
          </w:rPr>
          <w:t>ól</w:t>
        </w:r>
      </w:hyperlink>
      <w:r w:rsidR="006A0510">
        <w:rPr>
          <w:lang w:val="hu-HU"/>
        </w:rPr>
        <w:t>.</w:t>
      </w:r>
    </w:p>
    <w:p w:rsidR="002B1A83" w:rsidRDefault="002B1A83" w:rsidP="00DC6A9A">
      <w:pPr>
        <w:jc w:val="both"/>
        <w:rPr>
          <w:lang w:val="hu-HU"/>
        </w:rPr>
      </w:pPr>
    </w:p>
    <w:p w:rsidR="00A14AAF" w:rsidRDefault="00A14AAF" w:rsidP="00DC6A9A">
      <w:pPr>
        <w:jc w:val="both"/>
        <w:rPr>
          <w:lang w:val="hu-HU"/>
        </w:rPr>
      </w:pPr>
    </w:p>
    <w:p w:rsidR="002B1A83" w:rsidRDefault="00F619D4" w:rsidP="00DC6A9A">
      <w:pPr>
        <w:jc w:val="both"/>
        <w:rPr>
          <w:lang w:val="hu-HU"/>
        </w:rPr>
      </w:pPr>
      <w:r>
        <w:rPr>
          <w:lang w:val="hu-HU"/>
        </w:rPr>
        <w:lastRenderedPageBreak/>
        <w:t xml:space="preserve">A BKK a projekt keretében felmérést végzett a budapesti kerékpáros közlekedés regionális fejlesztési lehetőségeiről, melynek eredményeit Bencze-Kovács Virág kerékpáros stratégiai koordinátor ismertette. A kerékpáros forgalom dinamikusan növekszik Budapesten: 1994 és 2010 között csaknem ötszörösére nőtt. Ezen belül napjainkban már egyértelműen a munkába, iskolába járás van túlsúlyban, nem a szabadidős célú kerékpározás. Az agglomerációból is sokan, naponta mintegy 15 ezren </w:t>
      </w:r>
      <w:r w:rsidR="008778D4">
        <w:rPr>
          <w:lang w:val="hu-HU"/>
        </w:rPr>
        <w:t xml:space="preserve">indulnak </w:t>
      </w:r>
      <w:r>
        <w:rPr>
          <w:lang w:val="hu-HU"/>
        </w:rPr>
        <w:t xml:space="preserve">kerékpárral a fővárosba. Egy részük vonattal, hévvel kombinálja a kerékpározást, sokan azonban a teljes távot, akár 40-50 </w:t>
      </w:r>
      <w:r w:rsidR="007D375F"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-142240</wp:posOffset>
            </wp:positionV>
            <wp:extent cx="2696845" cy="2019935"/>
            <wp:effectExtent l="19050" t="0" r="8255" b="0"/>
            <wp:wrapTight wrapText="bothSides">
              <wp:wrapPolygon edited="0">
                <wp:start x="-153" y="0"/>
                <wp:lineTo x="-153" y="21390"/>
                <wp:lineTo x="21666" y="21390"/>
                <wp:lineTo x="21666" y="0"/>
                <wp:lineTo x="-153" y="0"/>
              </wp:wrapPolygon>
            </wp:wrapTight>
            <wp:docPr id="6" name="Kép 3" descr="P1070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709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hu-HU"/>
        </w:rPr>
        <w:t xml:space="preserve">km-t is kerékpárral teszik meg, ami arra utal, hogy </w:t>
      </w:r>
      <w:r w:rsidR="008778D4">
        <w:rPr>
          <w:lang w:val="hu-HU"/>
        </w:rPr>
        <w:t xml:space="preserve">a közösségi közlekedés tarifarendszere, illetve </w:t>
      </w:r>
      <w:r>
        <w:rPr>
          <w:lang w:val="hu-HU"/>
        </w:rPr>
        <w:t>a kerékpártárolási (B+R) és</w:t>
      </w:r>
      <w:r w:rsidR="008778D4">
        <w:rPr>
          <w:lang w:val="hu-HU"/>
        </w:rPr>
        <w:t xml:space="preserve"> kerékpárszállítási lehetőségek</w:t>
      </w:r>
      <w:r>
        <w:rPr>
          <w:lang w:val="hu-HU"/>
        </w:rPr>
        <w:t xml:space="preserve"> nem elég vonzó</w:t>
      </w:r>
      <w:r w:rsidR="008778D4">
        <w:rPr>
          <w:lang w:val="hu-HU"/>
        </w:rPr>
        <w:t>ak</w:t>
      </w:r>
      <w:r>
        <w:rPr>
          <w:lang w:val="hu-HU"/>
        </w:rPr>
        <w:t xml:space="preserve"> számukra. A BKK a belváros</w:t>
      </w:r>
      <w:r w:rsidR="00C90650">
        <w:rPr>
          <w:lang w:val="hu-HU"/>
        </w:rPr>
        <w:t>ban</w:t>
      </w:r>
      <w:r>
        <w:rPr>
          <w:lang w:val="hu-HU"/>
        </w:rPr>
        <w:t xml:space="preserve"> a</w:t>
      </w:r>
      <w:r w:rsidR="00C90650">
        <w:rPr>
          <w:lang w:val="hu-HU"/>
        </w:rPr>
        <w:t xml:space="preserve"> Bubin és a teljes úthálózat kerékpározhatóvá tételén dolgozik, az átmeneti zónában a főhálózati elemek fejlesztésére koncentrál, míg a külső kerületek és az elővárosok tekintetében a kombinált utazás feltételeinek javítását tekinti a legfontosabb feladatnak.</w:t>
      </w:r>
    </w:p>
    <w:p w:rsidR="002B1A83" w:rsidRDefault="002B1A83" w:rsidP="00DC6A9A">
      <w:pPr>
        <w:jc w:val="both"/>
        <w:rPr>
          <w:lang w:val="hu-HU"/>
        </w:rPr>
      </w:pPr>
    </w:p>
    <w:p w:rsidR="00A14AAF" w:rsidRDefault="00A14AAF" w:rsidP="00DC6A9A">
      <w:pPr>
        <w:jc w:val="both"/>
        <w:rPr>
          <w:lang w:val="hu-HU"/>
        </w:rPr>
      </w:pPr>
    </w:p>
    <w:p w:rsidR="00A14AAF" w:rsidRDefault="00A14AAF" w:rsidP="00DC6A9A">
      <w:pPr>
        <w:jc w:val="both"/>
        <w:rPr>
          <w:lang w:val="hu-HU"/>
        </w:rPr>
      </w:pPr>
    </w:p>
    <w:p w:rsidR="005F025C" w:rsidRDefault="007D375F" w:rsidP="00DC6A9A">
      <w:pPr>
        <w:jc w:val="both"/>
        <w:rPr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409950" cy="2562225"/>
            <wp:effectExtent l="19050" t="0" r="0" b="0"/>
            <wp:wrapTight wrapText="bothSides">
              <wp:wrapPolygon edited="0">
                <wp:start x="-121" y="0"/>
                <wp:lineTo x="-121" y="21520"/>
                <wp:lineTo x="21600" y="21520"/>
                <wp:lineTo x="21600" y="0"/>
                <wp:lineTo x="-121" y="0"/>
              </wp:wrapPolygon>
            </wp:wrapTight>
            <wp:docPr id="5" name="Kép 4" descr="P1070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709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A50">
        <w:rPr>
          <w:lang w:val="hu-HU"/>
        </w:rPr>
        <w:t xml:space="preserve">A projekt eredményeinek budapesti hasznosításáról Kerényi László Sándor, a BKK </w:t>
      </w:r>
      <w:r w:rsidR="004B6A50" w:rsidRPr="004B6A50">
        <w:rPr>
          <w:lang w:val="hu-HU"/>
        </w:rPr>
        <w:t>közlekedésstratégia szakterületi vezető</w:t>
      </w:r>
      <w:r w:rsidR="004B6A50">
        <w:rPr>
          <w:lang w:val="hu-HU"/>
        </w:rPr>
        <w:t xml:space="preserve">je beszélt. A helyzet nem könnyű: a legtöbb városra jellemző szuburbanizációs folyamatokat Budapest esetében az állami autópálya-fejlesztési program, az állami és önkormányzati fejlesztések összehangolatlansága, illetve az önkormányzati rendszer széttagoltsága is fokozta, így az autóhasználat a város és környéke kapcsolatában meghatározóvá vált. Ezzel párhuzamosan a közösségi közlekedés tartós alulfinanszírozottsága a szolgáltatási színvonal romlásához vezetett. A jövő </w:t>
      </w:r>
      <w:r w:rsidR="00A80D8A">
        <w:rPr>
          <w:lang w:val="hu-HU"/>
        </w:rPr>
        <w:t xml:space="preserve">tervezési keretei </w:t>
      </w:r>
      <w:r w:rsidR="004B6A50">
        <w:rPr>
          <w:lang w:val="hu-HU"/>
        </w:rPr>
        <w:t xml:space="preserve">azonban </w:t>
      </w:r>
      <w:r w:rsidR="00D06A73">
        <w:rPr>
          <w:lang w:val="hu-HU"/>
        </w:rPr>
        <w:t>ma egészen mások</w:t>
      </w:r>
      <w:r w:rsidR="004B6A50">
        <w:rPr>
          <w:lang w:val="hu-HU"/>
        </w:rPr>
        <w:t xml:space="preserve">: </w:t>
      </w:r>
      <w:r w:rsidR="00A80D8A">
        <w:rPr>
          <w:lang w:val="hu-HU"/>
        </w:rPr>
        <w:t xml:space="preserve">a válság hatására megtört az autóhasználat növekedése; </w:t>
      </w:r>
      <w:r w:rsidR="004B6A50">
        <w:rPr>
          <w:lang w:val="hu-HU"/>
        </w:rPr>
        <w:t xml:space="preserve">a fiatalok számára már nem az autók, hanem az internet, az okostelefonok jelentik az önkifejezés lehetőségét; az Európai Unió közlekedéspolitikáját meghatározó Fehér Könyv pedig bátor célokat tűzött ki a fenntarthatóság és a közlekedésbiztonság terén. A válasz egy integrált tervezési folyamat lehet, amely az érintettek széleskörű bevonásával, az eredmények folyamatos értékelésén keresztül képes </w:t>
      </w:r>
      <w:r w:rsidR="004B6A50">
        <w:rPr>
          <w:lang w:val="hu-HU"/>
        </w:rPr>
        <w:lastRenderedPageBreak/>
        <w:t>lépést tartani a világ változásával</w:t>
      </w:r>
      <w:r w:rsidR="00A80D8A">
        <w:rPr>
          <w:lang w:val="hu-HU"/>
        </w:rPr>
        <w:t xml:space="preserve"> – </w:t>
      </w:r>
      <w:r w:rsidR="004B6A50">
        <w:rPr>
          <w:lang w:val="hu-HU"/>
        </w:rPr>
        <w:t>ebben a szemléletben készül a</w:t>
      </w:r>
      <w:r w:rsidR="00702BA7">
        <w:rPr>
          <w:lang w:val="hu-HU"/>
        </w:rPr>
        <w:t>z</w:t>
      </w:r>
      <w:r w:rsidR="004B6A50">
        <w:rPr>
          <w:lang w:val="hu-HU"/>
        </w:rPr>
        <w:t xml:space="preserve"> új Budapesti Mobilitási Terv.</w:t>
      </w:r>
      <w:r w:rsidR="00702BA7">
        <w:rPr>
          <w:lang w:val="hu-HU"/>
        </w:rPr>
        <w:t xml:space="preserve"> A konkrét projektek szintjén mind a jövőre induló Bubi, mind a behajtási díj terén hasznos tapasztalatokkal szolgált a projekt. A behajtási díj esetében a célok (forgalomszabályozás és forrásteremtés), illetve a források felhasználása (a közlekedés fejlesztése vagy működtetése) terén </w:t>
      </w:r>
      <w:r w:rsidR="00A80D8A">
        <w:rPr>
          <w:lang w:val="hu-HU"/>
        </w:rPr>
        <w:t>még fontos döntéseket kell meghozni</w:t>
      </w:r>
      <w:r w:rsidR="00702BA7">
        <w:rPr>
          <w:lang w:val="hu-HU"/>
        </w:rPr>
        <w:t>.</w:t>
      </w:r>
    </w:p>
    <w:p w:rsidR="004B6A50" w:rsidRPr="002B1A83" w:rsidRDefault="004B6A50" w:rsidP="00DC6A9A">
      <w:pPr>
        <w:jc w:val="both"/>
        <w:rPr>
          <w:lang w:val="hu-HU"/>
        </w:rPr>
      </w:pPr>
    </w:p>
    <w:p w:rsidR="005F025C" w:rsidRPr="002B1A83" w:rsidRDefault="00A80D8A" w:rsidP="00DC6A9A">
      <w:pPr>
        <w:jc w:val="both"/>
        <w:rPr>
          <w:lang w:val="hu-HU"/>
        </w:rPr>
      </w:pPr>
      <w:r>
        <w:rPr>
          <w:lang w:val="hu-HU"/>
        </w:rPr>
        <w:t>Az előadások alapján é</w:t>
      </w:r>
      <w:r w:rsidR="00702BA7">
        <w:rPr>
          <w:lang w:val="hu-HU"/>
        </w:rPr>
        <w:t xml:space="preserve">lénk vita alakult ki a fővárosi és agglomerációs önkormányzatok együttműködésének lehetőségeiről, a behajtási díj bevezetésének feltételeiről, a P+R parkolók elhelyezésének és kapacitásának szempontjairól, valamint a telekocsi (carpooling) rendszerek támogatásáról. </w:t>
      </w:r>
    </w:p>
    <w:p w:rsidR="005F025C" w:rsidRPr="002B1A83" w:rsidRDefault="005F025C" w:rsidP="00DC6A9A">
      <w:pPr>
        <w:jc w:val="both"/>
        <w:rPr>
          <w:lang w:val="hu-HU"/>
        </w:rPr>
      </w:pPr>
    </w:p>
    <w:p w:rsidR="005F025C" w:rsidRDefault="005F025C" w:rsidP="00DC6A9A">
      <w:pPr>
        <w:jc w:val="both"/>
        <w:rPr>
          <w:lang w:val="hu-HU"/>
        </w:rPr>
      </w:pPr>
    </w:p>
    <w:p w:rsidR="002642B2" w:rsidRDefault="002642B2" w:rsidP="00DC6A9A">
      <w:pPr>
        <w:jc w:val="both"/>
        <w:rPr>
          <w:lang w:val="hu-HU"/>
        </w:rPr>
      </w:pPr>
      <w:r>
        <w:rPr>
          <w:lang w:val="hu-HU"/>
        </w:rPr>
        <w:t>2012. november 26.</w:t>
      </w:r>
    </w:p>
    <w:p w:rsidR="00CE0953" w:rsidRDefault="00CE0953" w:rsidP="00CE0953">
      <w:pPr>
        <w:jc w:val="right"/>
        <w:rPr>
          <w:lang w:val="hu-HU"/>
        </w:rPr>
      </w:pPr>
      <w:r>
        <w:rPr>
          <w:lang w:val="hu-HU"/>
        </w:rPr>
        <w:t>Szerző: Gertheis Antal</w:t>
      </w:r>
    </w:p>
    <w:p w:rsidR="00CE0953" w:rsidRPr="002B1A83" w:rsidRDefault="00CE0953" w:rsidP="00CE0953">
      <w:pPr>
        <w:jc w:val="right"/>
        <w:rPr>
          <w:lang w:val="hu-HU"/>
        </w:rPr>
      </w:pPr>
      <w:r>
        <w:rPr>
          <w:lang w:val="hu-HU"/>
        </w:rPr>
        <w:t>Fotó: Jabronka Zoltán</w:t>
      </w:r>
    </w:p>
    <w:p w:rsidR="005A0B51" w:rsidRPr="002B1A83" w:rsidRDefault="005A0B51" w:rsidP="00DC6A9A">
      <w:pPr>
        <w:jc w:val="both"/>
        <w:rPr>
          <w:lang w:val="hu-HU"/>
        </w:rPr>
      </w:pPr>
    </w:p>
    <w:sectPr w:rsidR="005A0B51" w:rsidRPr="002B1A83" w:rsidSect="00264F7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3119" w:right="1418" w:bottom="2126" w:left="1418" w:header="284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FC" w:rsidRDefault="00E534FC">
      <w:r>
        <w:separator/>
      </w:r>
    </w:p>
  </w:endnote>
  <w:endnote w:type="continuationSeparator" w:id="0">
    <w:p w:rsidR="00E534FC" w:rsidRDefault="00E53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50" w:rsidRDefault="004B6A50" w:rsidP="005A0B5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6A50" w:rsidRDefault="004B6A5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50" w:rsidRDefault="004B6A50" w:rsidP="00B33038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375F">
      <w:rPr>
        <w:rStyle w:val="Oldalszm"/>
        <w:noProof/>
      </w:rPr>
      <w:t>2</w:t>
    </w:r>
    <w:r>
      <w:rPr>
        <w:rStyle w:val="Oldalszm"/>
      </w:rPr>
      <w:fldChar w:fldCharType="end"/>
    </w:r>
  </w:p>
  <w:p w:rsidR="004B6A50" w:rsidRDefault="004B6A50">
    <w:pPr>
      <w:pStyle w:val="llb"/>
    </w:pPr>
    <w:r>
      <w:rPr>
        <w:noProof/>
      </w:rPr>
      <w:pict>
        <v:line id="_x0000_s2052" style="position:absolute;z-index:-251657216;mso-wrap-edited:f" from="-84.75pt,-9.9pt" to="560.25pt,-9.9pt" wrapcoords="-25 -2147483648 -25 -2147483648 21651 -2147483648 21651 -2147483648 -25 -2147483648" strokecolor="#92c11b">
          <w10:wrap type="tight"/>
        </v:line>
      </w:pict>
    </w:r>
    <w:r w:rsidR="007D375F">
      <w:rPr>
        <w:noProof/>
        <w:lang w:val="hu-HU" w:eastAsia="hu-HU"/>
      </w:rPr>
      <w:drawing>
        <wp:inline distT="0" distB="0" distL="0" distR="0">
          <wp:extent cx="5457825" cy="600075"/>
          <wp:effectExtent l="19050" t="0" r="9525" b="0"/>
          <wp:docPr id="1" name="Kép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50" w:rsidRDefault="004B6A50" w:rsidP="00B3303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375F">
      <w:rPr>
        <w:rStyle w:val="Oldalszm"/>
        <w:noProof/>
      </w:rPr>
      <w:t>1</w:t>
    </w:r>
    <w:r>
      <w:rPr>
        <w:rStyle w:val="Oldalszm"/>
      </w:rPr>
      <w:fldChar w:fldCharType="end"/>
    </w:r>
  </w:p>
  <w:p w:rsidR="004B6A50" w:rsidRDefault="004B6A50">
    <w:pPr>
      <w:pStyle w:val="llb"/>
    </w:pPr>
    <w:r>
      <w:rPr>
        <w:szCs w:val="20"/>
        <w:lang w:val="hu-HU" w:eastAsia="hu-HU"/>
      </w:rPr>
      <w:pict>
        <v:line id="_x0000_s2049" style="position:absolute;z-index:-251660288;mso-wrap-edited:f" from="-84.85pt,-9.9pt" to="560.15pt,-9.9pt" wrapcoords="-25 -2147483648 -25 -2147483648 21651 -2147483648 21651 -2147483648 -25 -2147483648" strokecolor="#92c11b">
          <w10:wrap type="tight"/>
        </v:line>
      </w:pict>
    </w:r>
    <w:r w:rsidR="007D375F">
      <w:rPr>
        <w:noProof/>
        <w:lang w:val="hu-HU" w:eastAsia="hu-HU"/>
      </w:rPr>
      <w:drawing>
        <wp:inline distT="0" distB="0" distL="0" distR="0">
          <wp:extent cx="5457825" cy="600075"/>
          <wp:effectExtent l="19050" t="0" r="9525" b="0"/>
          <wp:docPr id="2" name="Kép 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FC" w:rsidRDefault="00E534FC">
      <w:r>
        <w:separator/>
      </w:r>
    </w:p>
  </w:footnote>
  <w:footnote w:type="continuationSeparator" w:id="0">
    <w:p w:rsidR="00E534FC" w:rsidRDefault="00E53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50" w:rsidRDefault="007D375F">
    <w:r>
      <w:rPr>
        <w:noProof/>
        <w:szCs w:val="20"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4408805</wp:posOffset>
          </wp:positionH>
          <wp:positionV relativeFrom="paragraph">
            <wp:posOffset>279400</wp:posOffset>
          </wp:positionV>
          <wp:extent cx="1765300" cy="711200"/>
          <wp:effectExtent l="19050" t="0" r="6350" b="0"/>
          <wp:wrapTight wrapText="bothSides">
            <wp:wrapPolygon edited="0">
              <wp:start x="-233" y="0"/>
              <wp:lineTo x="-233" y="20829"/>
              <wp:lineTo x="21678" y="20829"/>
              <wp:lineTo x="21678" y="0"/>
              <wp:lineTo x="-233" y="0"/>
            </wp:wrapPolygon>
          </wp:wrapTight>
          <wp:docPr id="4" name="Kép 2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50" w:rsidRDefault="007D375F">
    <w:r>
      <w:rPr>
        <w:noProof/>
        <w:szCs w:val="20"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-177800</wp:posOffset>
          </wp:positionV>
          <wp:extent cx="7569200" cy="1714500"/>
          <wp:effectExtent l="19050" t="0" r="0" b="0"/>
          <wp:wrapTight wrapText="bothSides">
            <wp:wrapPolygon edited="0">
              <wp:start x="-54" y="0"/>
              <wp:lineTo x="-54" y="21360"/>
              <wp:lineTo x="21582" y="21360"/>
              <wp:lineTo x="21582" y="0"/>
              <wp:lineTo x="-54" y="0"/>
            </wp:wrapPolygon>
          </wp:wrapTight>
          <wp:docPr id="3" name="Kép 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D0EF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CCF1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306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12F3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18A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80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82A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C19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086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C75A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DB62DBE"/>
    <w:multiLevelType w:val="hybridMultilevel"/>
    <w:tmpl w:val="0032CAD8"/>
    <w:lvl w:ilvl="0" w:tplc="B91AA54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1847"/>
    <w:multiLevelType w:val="multilevel"/>
    <w:tmpl w:val="0407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3">
    <w:nsid w:val="1BD73E4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CD208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3860F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D9487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471CE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5D316A"/>
    <w:multiLevelType w:val="hybridMultilevel"/>
    <w:tmpl w:val="D332E1E4"/>
    <w:lvl w:ilvl="0" w:tplc="1F8EFD0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D0BCE"/>
    <w:multiLevelType w:val="hybridMultilevel"/>
    <w:tmpl w:val="1F9AA20A"/>
    <w:lvl w:ilvl="0" w:tplc="F3BC20B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A46E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8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20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92c11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0F1D"/>
    <w:rsid w:val="00231B27"/>
    <w:rsid w:val="002642B2"/>
    <w:rsid w:val="00264F71"/>
    <w:rsid w:val="002B1A83"/>
    <w:rsid w:val="004B6A50"/>
    <w:rsid w:val="005A0B51"/>
    <w:rsid w:val="005F025C"/>
    <w:rsid w:val="006040BC"/>
    <w:rsid w:val="006113EB"/>
    <w:rsid w:val="006770E8"/>
    <w:rsid w:val="00692D3C"/>
    <w:rsid w:val="006A0510"/>
    <w:rsid w:val="006A3950"/>
    <w:rsid w:val="006C103E"/>
    <w:rsid w:val="00702BA7"/>
    <w:rsid w:val="0072286A"/>
    <w:rsid w:val="00726087"/>
    <w:rsid w:val="00735DEB"/>
    <w:rsid w:val="007D375F"/>
    <w:rsid w:val="008778D4"/>
    <w:rsid w:val="009808A0"/>
    <w:rsid w:val="009C2CED"/>
    <w:rsid w:val="00A14AAF"/>
    <w:rsid w:val="00A414FC"/>
    <w:rsid w:val="00A80D8A"/>
    <w:rsid w:val="00B33038"/>
    <w:rsid w:val="00B361ED"/>
    <w:rsid w:val="00C27DEB"/>
    <w:rsid w:val="00C90650"/>
    <w:rsid w:val="00CE0953"/>
    <w:rsid w:val="00D06A73"/>
    <w:rsid w:val="00DC6A9A"/>
    <w:rsid w:val="00E443F0"/>
    <w:rsid w:val="00E534FC"/>
    <w:rsid w:val="00EA2BB7"/>
    <w:rsid w:val="00F619D4"/>
    <w:rsid w:val="00FB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2c11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25C"/>
    <w:rPr>
      <w:rFonts w:ascii="Arial" w:hAnsi="Arial"/>
      <w:sz w:val="22"/>
      <w:szCs w:val="24"/>
      <w:lang w:val="de-DE" w:eastAsia="de-DE"/>
    </w:rPr>
  </w:style>
  <w:style w:type="paragraph" w:styleId="Cmsor1">
    <w:name w:val="heading 1"/>
    <w:basedOn w:val="Norml"/>
    <w:next w:val="Norml"/>
    <w:link w:val="Cmsor1Char"/>
    <w:uiPriority w:val="9"/>
    <w:qFormat/>
    <w:rsid w:val="00FB3EE5"/>
    <w:pPr>
      <w:keepNext/>
      <w:numPr>
        <w:numId w:val="21"/>
      </w:numPr>
      <w:tabs>
        <w:tab w:val="left" w:pos="680"/>
      </w:tabs>
      <w:spacing w:before="360" w:after="360"/>
      <w:outlineLvl w:val="0"/>
    </w:pPr>
    <w:rPr>
      <w:b/>
      <w:bCs/>
      <w:kern w:val="32"/>
      <w:sz w:val="28"/>
      <w:szCs w:val="32"/>
      <w:lang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B3EE5"/>
    <w:pPr>
      <w:keepNext/>
      <w:numPr>
        <w:ilvl w:val="1"/>
        <w:numId w:val="21"/>
      </w:numPr>
      <w:tabs>
        <w:tab w:val="left" w:pos="680"/>
      </w:tabs>
      <w:spacing w:before="360" w:after="240"/>
      <w:outlineLvl w:val="1"/>
    </w:pPr>
    <w:rPr>
      <w:b/>
      <w:bCs/>
      <w:iCs/>
      <w:szCs w:val="28"/>
      <w:lang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3EE5"/>
    <w:pPr>
      <w:keepNext/>
      <w:numPr>
        <w:ilvl w:val="2"/>
        <w:numId w:val="21"/>
      </w:numPr>
      <w:tabs>
        <w:tab w:val="left" w:pos="680"/>
      </w:tabs>
      <w:spacing w:before="360" w:after="120"/>
      <w:outlineLvl w:val="2"/>
    </w:pPr>
    <w:rPr>
      <w:bCs/>
      <w:szCs w:val="26"/>
      <w:lang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808A0"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808A0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808A0"/>
    <w:pPr>
      <w:numPr>
        <w:ilvl w:val="5"/>
        <w:numId w:val="21"/>
      </w:numPr>
      <w:spacing w:before="240" w:after="60"/>
      <w:outlineLvl w:val="5"/>
    </w:pPr>
    <w:rPr>
      <w:rFonts w:ascii="Calibri" w:hAnsi="Calibri"/>
      <w:b/>
      <w:bCs/>
      <w:szCs w:val="22"/>
      <w:lang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808A0"/>
    <w:pPr>
      <w:numPr>
        <w:ilvl w:val="6"/>
        <w:numId w:val="21"/>
      </w:numPr>
      <w:spacing w:before="240" w:after="60"/>
      <w:outlineLvl w:val="6"/>
    </w:pPr>
    <w:rPr>
      <w:rFonts w:ascii="Calibri" w:hAnsi="Calibri"/>
      <w:sz w:val="24"/>
      <w:lang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808A0"/>
    <w:pPr>
      <w:numPr>
        <w:ilvl w:val="7"/>
        <w:numId w:val="21"/>
      </w:numPr>
      <w:spacing w:before="240" w:after="60"/>
      <w:outlineLvl w:val="7"/>
    </w:pPr>
    <w:rPr>
      <w:rFonts w:ascii="Calibri" w:hAnsi="Calibri"/>
      <w:i/>
      <w:iCs/>
      <w:sz w:val="24"/>
      <w:lang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808A0"/>
    <w:pPr>
      <w:numPr>
        <w:ilvl w:val="8"/>
        <w:numId w:val="21"/>
      </w:numPr>
      <w:spacing w:before="240" w:after="60"/>
      <w:outlineLvl w:val="8"/>
    </w:pPr>
    <w:rPr>
      <w:rFonts w:ascii="Cambria" w:hAnsi="Cambria"/>
      <w:szCs w:val="22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5F02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31C95"/>
    <w:pPr>
      <w:tabs>
        <w:tab w:val="center" w:pos="4536"/>
        <w:tab w:val="right" w:pos="9072"/>
      </w:tabs>
    </w:pPr>
    <w:rPr>
      <w:lang/>
    </w:rPr>
  </w:style>
  <w:style w:type="character" w:styleId="Oldalszm">
    <w:name w:val="page number"/>
    <w:basedOn w:val="Bekezdsalapbettpusa"/>
    <w:rsid w:val="00C27DEB"/>
  </w:style>
  <w:style w:type="character" w:customStyle="1" w:styleId="Cmsor1Char">
    <w:name w:val="Címsor 1 Char"/>
    <w:link w:val="Cmsor1"/>
    <w:uiPriority w:val="9"/>
    <w:rsid w:val="00FB3EE5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Cmsor2Char">
    <w:name w:val="Címsor 2 Char"/>
    <w:link w:val="Cmsor2"/>
    <w:uiPriority w:val="9"/>
    <w:rsid w:val="00FB3EE5"/>
    <w:rPr>
      <w:rFonts w:ascii="Arial" w:eastAsia="Times New Roman" w:hAnsi="Arial" w:cs="Times New Roman"/>
      <w:b/>
      <w:bCs/>
      <w:iCs/>
      <w:sz w:val="22"/>
      <w:szCs w:val="28"/>
    </w:rPr>
  </w:style>
  <w:style w:type="character" w:customStyle="1" w:styleId="Cmsor3Char">
    <w:name w:val="Címsor 3 Char"/>
    <w:link w:val="Cmsor3"/>
    <w:uiPriority w:val="9"/>
    <w:rsid w:val="00FB3EE5"/>
    <w:rPr>
      <w:rFonts w:ascii="Arial" w:eastAsia="Times New Roman" w:hAnsi="Arial" w:cs="Times New Roman"/>
      <w:bCs/>
      <w:sz w:val="22"/>
      <w:szCs w:val="26"/>
    </w:rPr>
  </w:style>
  <w:style w:type="character" w:customStyle="1" w:styleId="Cmsor4Char">
    <w:name w:val="Címsor 4 Char"/>
    <w:link w:val="Cmsor4"/>
    <w:uiPriority w:val="9"/>
    <w:semiHidden/>
    <w:rsid w:val="009808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9808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9808A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9808A0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9808A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9808A0"/>
    <w:rPr>
      <w:rFonts w:ascii="Cambria" w:eastAsia="Times New Roman" w:hAnsi="Cambria" w:cs="Times New Roman"/>
      <w:sz w:val="22"/>
      <w:szCs w:val="22"/>
    </w:rPr>
  </w:style>
  <w:style w:type="character" w:customStyle="1" w:styleId="llbChar">
    <w:name w:val="Élőláb Char"/>
    <w:link w:val="llb"/>
    <w:uiPriority w:val="99"/>
    <w:rsid w:val="00B33038"/>
    <w:rPr>
      <w:rFonts w:ascii="Arial" w:hAnsi="Arial"/>
      <w:sz w:val="22"/>
      <w:szCs w:val="24"/>
    </w:rPr>
  </w:style>
  <w:style w:type="character" w:styleId="Jegyzethivatkozs">
    <w:name w:val="annotation reference"/>
    <w:uiPriority w:val="99"/>
    <w:semiHidden/>
    <w:unhideWhenUsed/>
    <w:rsid w:val="002B1A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1A8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2B1A83"/>
    <w:rPr>
      <w:rFonts w:ascii="Arial" w:hAnsi="Arial"/>
      <w:lang w:val="de-DE" w:eastAsia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1A8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B1A83"/>
    <w:rPr>
      <w:rFonts w:ascii="Arial" w:hAnsi="Arial"/>
      <w:b/>
      <w:bCs/>
      <w:lang w:val="de-DE"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A8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B1A83"/>
    <w:rPr>
      <w:rFonts w:ascii="Tahoma" w:hAnsi="Tahoma" w:cs="Tahoma"/>
      <w:sz w:val="16"/>
      <w:szCs w:val="16"/>
      <w:lang w:val="de-DE" w:eastAsia="de-DE"/>
    </w:rPr>
  </w:style>
  <w:style w:type="character" w:styleId="Hiperhivatkozs">
    <w:name w:val="Hyperlink"/>
    <w:uiPriority w:val="99"/>
    <w:unhideWhenUsed/>
    <w:rsid w:val="006A051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2286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ch-mr.eu/public/DB_Data/files/Downloads/Final_version_with_5_MB-1.pd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CF8AD-69C2-467C-9F95-A4A433493908}"/>
</file>

<file path=customXml/itemProps2.xml><?xml version="1.0" encoding="utf-8"?>
<ds:datastoreItem xmlns:ds="http://schemas.openxmlformats.org/officeDocument/2006/customXml" ds:itemID="{4F5B316D-955C-4088-8FBB-5CA7AFF1D453}"/>
</file>

<file path=customXml/itemProps3.xml><?xml version="1.0" encoding="utf-8"?>
<ds:datastoreItem xmlns:ds="http://schemas.openxmlformats.org/officeDocument/2006/customXml" ds:itemID="{B7F66ED7-D1B1-44E4-9B3B-E9AE6E071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Főpolgármesteri Hivatal</Company>
  <LinksUpToDate>false</LinksUpToDate>
  <CharactersWithSpaces>5151</CharactersWithSpaces>
  <SharedDoc>false</SharedDoc>
  <HLinks>
    <vt:vector size="6" baseType="variant"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http://catch-mr.eu/public/DB_Data/files/Downloads/Final_version_with_5_MB-1.pdf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Schmidt Gábor dr.</dc:creator>
  <cp:lastModifiedBy>schmidtg</cp:lastModifiedBy>
  <cp:revision>2</cp:revision>
  <cp:lastPrinted>2010-05-25T10:19:00Z</cp:lastPrinted>
  <dcterms:created xsi:type="dcterms:W3CDTF">2012-11-27T13:32:00Z</dcterms:created>
  <dcterms:modified xsi:type="dcterms:W3CDTF">2012-11-27T13:32:00Z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