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7A" w:rsidRDefault="00A26A7A" w:rsidP="00A26A7A">
      <w:pPr>
        <w:autoSpaceDE w:val="0"/>
        <w:autoSpaceDN w:val="0"/>
        <w:adjustRightInd w:val="0"/>
        <w:spacing w:after="0" w:line="240" w:lineRule="auto"/>
        <w:jc w:val="right"/>
      </w:pPr>
      <w:bookmarkStart w:id="0" w:name="_GoBack"/>
      <w:bookmarkEnd w:id="0"/>
      <w:r>
        <w:t>1. melléklet</w:t>
      </w:r>
    </w:p>
    <w:p w:rsidR="00A26A7A" w:rsidRDefault="00A26A7A" w:rsidP="00264295">
      <w:pPr>
        <w:autoSpaceDE w:val="0"/>
        <w:autoSpaceDN w:val="0"/>
        <w:adjustRightInd w:val="0"/>
        <w:spacing w:after="0" w:line="240" w:lineRule="auto"/>
        <w:jc w:val="center"/>
      </w:pPr>
    </w:p>
    <w:p w:rsidR="00264295" w:rsidRDefault="00264295" w:rsidP="00264295">
      <w:pPr>
        <w:autoSpaceDE w:val="0"/>
        <w:autoSpaceDN w:val="0"/>
        <w:adjustRightInd w:val="0"/>
        <w:spacing w:after="0" w:line="240" w:lineRule="auto"/>
        <w:jc w:val="center"/>
        <w:rPr>
          <w:rFonts w:ascii="Times New Roman" w:hAnsi="Times New Roman" w:cs="Times New Roman"/>
          <w:sz w:val="24"/>
          <w:szCs w:val="24"/>
        </w:rPr>
      </w:pPr>
    </w:p>
    <w:p w:rsidR="00C93236" w:rsidRDefault="00C93236" w:rsidP="00400AED">
      <w:pPr>
        <w:autoSpaceDE w:val="0"/>
        <w:autoSpaceDN w:val="0"/>
        <w:adjustRightInd w:val="0"/>
        <w:spacing w:before="240" w:after="240" w:line="240" w:lineRule="auto"/>
        <w:jc w:val="center"/>
        <w:rPr>
          <w:rFonts w:cs="Arial"/>
          <w:b/>
          <w:bCs/>
        </w:rPr>
      </w:pPr>
      <w:r>
        <w:rPr>
          <w:rFonts w:cs="Arial"/>
          <w:b/>
          <w:bCs/>
        </w:rPr>
        <w:t>Budapest Főváros Önkormányzata Közgyűlésének</w:t>
      </w:r>
    </w:p>
    <w:p w:rsidR="00400AED" w:rsidRDefault="00327C8E" w:rsidP="00400AED">
      <w:pPr>
        <w:autoSpaceDE w:val="0"/>
        <w:autoSpaceDN w:val="0"/>
        <w:adjustRightInd w:val="0"/>
        <w:spacing w:before="240" w:after="240" w:line="240" w:lineRule="auto"/>
        <w:jc w:val="center"/>
        <w:rPr>
          <w:rFonts w:cs="Arial"/>
          <w:b/>
          <w:bCs/>
        </w:rPr>
      </w:pPr>
      <w:r w:rsidRPr="00F315D0">
        <w:rPr>
          <w:rFonts w:cs="Arial"/>
          <w:b/>
          <w:bCs/>
        </w:rPr>
        <w:t>……/2016</w:t>
      </w:r>
      <w:r w:rsidR="00A0464E">
        <w:rPr>
          <w:rFonts w:cs="Arial"/>
          <w:b/>
          <w:bCs/>
        </w:rPr>
        <w:t>.</w:t>
      </w:r>
      <w:r w:rsidRPr="00F315D0">
        <w:rPr>
          <w:rFonts w:cs="Arial"/>
          <w:b/>
          <w:bCs/>
        </w:rPr>
        <w:t xml:space="preserve"> </w:t>
      </w:r>
      <w:r w:rsidR="00264295" w:rsidRPr="00142A2F">
        <w:rPr>
          <w:rFonts w:cs="Arial"/>
          <w:b/>
          <w:bCs/>
        </w:rPr>
        <w:t xml:space="preserve"> (</w:t>
      </w:r>
      <w:r w:rsidR="00264295" w:rsidRPr="00294E76">
        <w:rPr>
          <w:rFonts w:cs="Arial"/>
          <w:b/>
          <w:bCs/>
        </w:rPr>
        <w:t>…..</w:t>
      </w:r>
      <w:r w:rsidR="00264295" w:rsidRPr="00142A2F">
        <w:rPr>
          <w:rFonts w:cs="Arial"/>
          <w:b/>
          <w:bCs/>
        </w:rPr>
        <w:t xml:space="preserve">) </w:t>
      </w:r>
      <w:r w:rsidR="00C93236">
        <w:rPr>
          <w:rFonts w:cs="Arial"/>
          <w:b/>
          <w:bCs/>
        </w:rPr>
        <w:t>önkormányzati</w:t>
      </w:r>
      <w:r w:rsidR="00264295" w:rsidRPr="00142A2F">
        <w:rPr>
          <w:rFonts w:cs="Arial"/>
          <w:b/>
          <w:bCs/>
        </w:rPr>
        <w:t xml:space="preserve"> rendelet</w:t>
      </w:r>
      <w:r w:rsidR="00C93236">
        <w:rPr>
          <w:rFonts w:cs="Arial"/>
          <w:b/>
          <w:bCs/>
        </w:rPr>
        <w:t>e</w:t>
      </w:r>
    </w:p>
    <w:p w:rsidR="00C93236" w:rsidRDefault="00264295" w:rsidP="00400AED">
      <w:pPr>
        <w:autoSpaceDE w:val="0"/>
        <w:autoSpaceDN w:val="0"/>
        <w:adjustRightInd w:val="0"/>
        <w:spacing w:before="240" w:after="240" w:line="240" w:lineRule="auto"/>
        <w:jc w:val="center"/>
        <w:rPr>
          <w:rFonts w:cs="Arial"/>
          <w:b/>
          <w:bCs/>
        </w:rPr>
      </w:pPr>
      <w:r w:rsidRPr="003412D2">
        <w:rPr>
          <w:rFonts w:cs="Arial"/>
          <w:b/>
          <w:bCs/>
        </w:rPr>
        <w:t>a Budapest főváros területén végzett távhőszolgáltatásról</w:t>
      </w:r>
      <w:r w:rsidRPr="00294E76">
        <w:rPr>
          <w:rFonts w:cs="Arial"/>
          <w:b/>
          <w:bCs/>
        </w:rPr>
        <w:t xml:space="preserve"> </w:t>
      </w:r>
      <w:r>
        <w:rPr>
          <w:rFonts w:cs="Arial"/>
          <w:b/>
          <w:bCs/>
        </w:rPr>
        <w:t>szóló</w:t>
      </w:r>
    </w:p>
    <w:p w:rsidR="00C93236" w:rsidRDefault="00264295" w:rsidP="00400AED">
      <w:pPr>
        <w:autoSpaceDE w:val="0"/>
        <w:autoSpaceDN w:val="0"/>
        <w:adjustRightInd w:val="0"/>
        <w:spacing w:before="240" w:after="240" w:line="240" w:lineRule="auto"/>
        <w:jc w:val="center"/>
        <w:rPr>
          <w:rFonts w:cs="Arial"/>
          <w:b/>
          <w:bCs/>
        </w:rPr>
      </w:pPr>
      <w:r>
        <w:rPr>
          <w:rFonts w:cs="Arial"/>
          <w:b/>
          <w:bCs/>
        </w:rPr>
        <w:t xml:space="preserve"> </w:t>
      </w:r>
      <w:r w:rsidRPr="003412D2">
        <w:rPr>
          <w:rFonts w:cs="Arial"/>
          <w:b/>
          <w:bCs/>
        </w:rPr>
        <w:t>66/2012. (IX. 28.) Főv. Kgy. rendelet</w:t>
      </w:r>
      <w:r w:rsidRPr="00294E76">
        <w:rPr>
          <w:rFonts w:cs="Arial"/>
          <w:b/>
          <w:bCs/>
        </w:rPr>
        <w:t xml:space="preserve"> </w:t>
      </w:r>
    </w:p>
    <w:p w:rsidR="00264295" w:rsidRPr="00142A2F" w:rsidRDefault="00264295" w:rsidP="00400AED">
      <w:pPr>
        <w:autoSpaceDE w:val="0"/>
        <w:autoSpaceDN w:val="0"/>
        <w:adjustRightInd w:val="0"/>
        <w:spacing w:before="240" w:after="240" w:line="240" w:lineRule="auto"/>
        <w:jc w:val="center"/>
        <w:rPr>
          <w:rFonts w:cs="Arial"/>
          <w:b/>
          <w:bCs/>
        </w:rPr>
      </w:pPr>
      <w:r w:rsidRPr="00142A2F">
        <w:rPr>
          <w:rFonts w:cs="Arial"/>
          <w:b/>
          <w:bCs/>
        </w:rPr>
        <w:t>módosításáról</w:t>
      </w:r>
    </w:p>
    <w:p w:rsidR="00264295" w:rsidRDefault="00264295" w:rsidP="00264295">
      <w:pPr>
        <w:autoSpaceDE w:val="0"/>
        <w:autoSpaceDN w:val="0"/>
        <w:adjustRightInd w:val="0"/>
        <w:spacing w:after="0" w:line="240" w:lineRule="auto"/>
        <w:jc w:val="both"/>
        <w:rPr>
          <w:rFonts w:cs="Arial"/>
        </w:rPr>
      </w:pPr>
      <w:r w:rsidRPr="00142A2F">
        <w:rPr>
          <w:rFonts w:cs="Arial"/>
        </w:rPr>
        <w:t xml:space="preserve">Budapest Főváros Önkormányzat Közgyűlése a távhőszolgáltatásról szóló 2005. évi XVIII. </w:t>
      </w:r>
      <w:r w:rsidRPr="00294E76">
        <w:rPr>
          <w:rFonts w:cs="Arial"/>
        </w:rPr>
        <w:t>törvény</w:t>
      </w:r>
      <w:r w:rsidR="00A965E7">
        <w:rPr>
          <w:rFonts w:cs="Arial"/>
        </w:rPr>
        <w:t xml:space="preserve"> </w:t>
      </w:r>
      <w:r w:rsidRPr="00294E76">
        <w:rPr>
          <w:rFonts w:cs="Arial"/>
        </w:rPr>
        <w:t>60. § (3) bekezdésében</w:t>
      </w:r>
      <w:r w:rsidR="00A965E7">
        <w:rPr>
          <w:rFonts w:cs="Arial"/>
        </w:rPr>
        <w:t xml:space="preserve"> </w:t>
      </w:r>
      <w:r w:rsidRPr="00142A2F">
        <w:rPr>
          <w:rFonts w:cs="Arial"/>
        </w:rPr>
        <w:t xml:space="preserve">kapott felhatalmazás alapján, és a </w:t>
      </w:r>
      <w:r w:rsidR="00A965E7">
        <w:rPr>
          <w:rFonts w:cs="Arial"/>
        </w:rPr>
        <w:t xml:space="preserve">Tszt. </w:t>
      </w:r>
      <w:r w:rsidRPr="00142A2F">
        <w:rPr>
          <w:rFonts w:cs="Arial"/>
        </w:rPr>
        <w:t>6. § (2) bekezdés</w:t>
      </w:r>
      <w:r w:rsidR="00C93236">
        <w:rPr>
          <w:rFonts w:cs="Arial"/>
        </w:rPr>
        <w:t xml:space="preserve"> b) pontjában</w:t>
      </w:r>
      <w:r w:rsidRPr="00142A2F">
        <w:rPr>
          <w:rFonts w:cs="Arial"/>
        </w:rPr>
        <w:t xml:space="preserve"> meghatározott feladatkörében eljárva a következőket rendeli el:</w:t>
      </w:r>
    </w:p>
    <w:p w:rsidR="00B74A66" w:rsidRDefault="00B74A66" w:rsidP="00264295">
      <w:pPr>
        <w:autoSpaceDE w:val="0"/>
        <w:autoSpaceDN w:val="0"/>
        <w:adjustRightInd w:val="0"/>
        <w:spacing w:after="0" w:line="240" w:lineRule="auto"/>
        <w:jc w:val="both"/>
        <w:rPr>
          <w:rFonts w:cs="Arial"/>
        </w:rPr>
      </w:pPr>
    </w:p>
    <w:p w:rsidR="00264295" w:rsidRDefault="00264295" w:rsidP="00264295">
      <w:pPr>
        <w:autoSpaceDE w:val="0"/>
        <w:autoSpaceDN w:val="0"/>
        <w:adjustRightInd w:val="0"/>
        <w:spacing w:after="0" w:line="240" w:lineRule="auto"/>
        <w:jc w:val="both"/>
        <w:rPr>
          <w:rFonts w:cs="Arial"/>
        </w:rPr>
      </w:pPr>
    </w:p>
    <w:p w:rsidR="00B74A66" w:rsidRDefault="00264295" w:rsidP="00453280">
      <w:pPr>
        <w:autoSpaceDE w:val="0"/>
        <w:autoSpaceDN w:val="0"/>
        <w:adjustRightInd w:val="0"/>
        <w:spacing w:after="240" w:line="240" w:lineRule="auto"/>
        <w:ind w:firstLine="198"/>
        <w:jc w:val="center"/>
        <w:rPr>
          <w:rFonts w:cs="Arial"/>
        </w:rPr>
      </w:pPr>
      <w:r w:rsidRPr="00453280">
        <w:rPr>
          <w:rFonts w:cs="Arial"/>
          <w:bCs/>
        </w:rPr>
        <w:t>1. §</w:t>
      </w:r>
    </w:p>
    <w:p w:rsidR="00264295" w:rsidRPr="00453280" w:rsidRDefault="00264295" w:rsidP="00453280">
      <w:pPr>
        <w:autoSpaceDE w:val="0"/>
        <w:autoSpaceDN w:val="0"/>
        <w:adjustRightInd w:val="0"/>
        <w:spacing w:after="240" w:line="240" w:lineRule="auto"/>
        <w:jc w:val="both"/>
        <w:rPr>
          <w:rFonts w:cs="Arial"/>
        </w:rPr>
      </w:pPr>
      <w:r w:rsidRPr="00453280">
        <w:rPr>
          <w:rFonts w:cs="Arial"/>
        </w:rPr>
        <w:t>A Budapest főváros területén végzett távhőszolgáltatásról szóló 66/2012. (IX. 28.) Főv. Kgy. rendelet</w:t>
      </w:r>
      <w:r w:rsidR="006D781A" w:rsidRPr="00453280">
        <w:rPr>
          <w:rFonts w:cs="Arial"/>
        </w:rPr>
        <w:t xml:space="preserve"> (a továbbiakban: R.) </w:t>
      </w:r>
      <w:r w:rsidRPr="00453280">
        <w:rPr>
          <w:rFonts w:cs="Arial"/>
        </w:rPr>
        <w:t xml:space="preserve">a következő </w:t>
      </w:r>
      <w:r w:rsidR="006D781A" w:rsidRPr="00453280">
        <w:rPr>
          <w:rFonts w:cs="Arial"/>
        </w:rPr>
        <w:t>26/A. §-</w:t>
      </w:r>
      <w:r w:rsidR="00FF2805">
        <w:rPr>
          <w:rFonts w:cs="Arial"/>
        </w:rPr>
        <w:t>s</w:t>
      </w:r>
      <w:r w:rsidR="006D781A" w:rsidRPr="00453280">
        <w:rPr>
          <w:rFonts w:cs="Arial"/>
        </w:rPr>
        <w:t>al</w:t>
      </w:r>
      <w:r w:rsidRPr="00453280">
        <w:rPr>
          <w:rFonts w:cs="Arial"/>
        </w:rPr>
        <w:t xml:space="preserve"> egészül ki:</w:t>
      </w:r>
    </w:p>
    <w:p w:rsidR="00264295" w:rsidRPr="00453280" w:rsidRDefault="00C93236" w:rsidP="00453280">
      <w:pPr>
        <w:autoSpaceDE w:val="0"/>
        <w:autoSpaceDN w:val="0"/>
        <w:adjustRightInd w:val="0"/>
        <w:spacing w:after="0" w:line="240" w:lineRule="auto"/>
        <w:ind w:left="284"/>
        <w:jc w:val="both"/>
        <w:rPr>
          <w:rFonts w:cs="Arial"/>
          <w:i/>
        </w:rPr>
      </w:pPr>
      <w:r w:rsidRPr="00453280">
        <w:rPr>
          <w:rFonts w:cs="Arial"/>
          <w:i/>
        </w:rPr>
        <w:t>„</w:t>
      </w:r>
      <w:r w:rsidR="006D781A" w:rsidRPr="00453280">
        <w:rPr>
          <w:rFonts w:cs="Arial"/>
          <w:i/>
        </w:rPr>
        <w:t>26/A</w:t>
      </w:r>
      <w:r w:rsidR="00264295" w:rsidRPr="00453280">
        <w:rPr>
          <w:rFonts w:cs="Arial"/>
          <w:i/>
        </w:rPr>
        <w:t xml:space="preserve">. § </w:t>
      </w:r>
      <w:r w:rsidR="00453280" w:rsidRPr="00453280">
        <w:rPr>
          <w:rFonts w:cs="Arial"/>
          <w:i/>
        </w:rPr>
        <w:t>A távhőszolgáltató a távhőszolgáltatási díjtól lefelé a 2. mellékletében szabályozott díjalkalmazási és díjfizetési feltételek megkülönböztetés</w:t>
      </w:r>
      <w:r w:rsidR="00453280">
        <w:rPr>
          <w:rFonts w:cs="Arial"/>
          <w:i/>
        </w:rPr>
        <w:t>-</w:t>
      </w:r>
      <w:r w:rsidR="00453280" w:rsidRPr="00453280">
        <w:rPr>
          <w:rFonts w:cs="Arial"/>
          <w:i/>
        </w:rPr>
        <w:t>mentes alkalmazásával térhet el. Vita esetén a távhőszolgáltatónak kell bizonyítania, hogy az e rendeletben szabályozott díjeltérést megfelelően alkalmazta.</w:t>
      </w:r>
      <w:r w:rsidR="00453280">
        <w:rPr>
          <w:rFonts w:cs="Arial"/>
          <w:i/>
        </w:rPr>
        <w:t>”</w:t>
      </w:r>
    </w:p>
    <w:p w:rsidR="00B74A66" w:rsidRDefault="00264295" w:rsidP="00453280">
      <w:pPr>
        <w:autoSpaceDE w:val="0"/>
        <w:autoSpaceDN w:val="0"/>
        <w:adjustRightInd w:val="0"/>
        <w:spacing w:before="240" w:after="0" w:line="240" w:lineRule="auto"/>
        <w:ind w:firstLine="198"/>
        <w:jc w:val="center"/>
        <w:rPr>
          <w:rFonts w:cs="Arial"/>
          <w:bCs/>
        </w:rPr>
      </w:pPr>
      <w:r w:rsidRPr="00453280">
        <w:rPr>
          <w:rFonts w:cs="Arial"/>
          <w:bCs/>
        </w:rPr>
        <w:t>2. §</w:t>
      </w:r>
    </w:p>
    <w:p w:rsidR="008F0358" w:rsidRDefault="008F0358" w:rsidP="008F0358">
      <w:pPr>
        <w:autoSpaceDE w:val="0"/>
        <w:autoSpaceDN w:val="0"/>
        <w:adjustRightInd w:val="0"/>
        <w:spacing w:before="240" w:after="0" w:line="240" w:lineRule="auto"/>
        <w:ind w:firstLine="198"/>
        <w:jc w:val="both"/>
        <w:rPr>
          <w:rFonts w:cs="Arial"/>
          <w:bCs/>
        </w:rPr>
      </w:pPr>
      <w:r>
        <w:rPr>
          <w:rFonts w:cs="Arial"/>
          <w:bCs/>
        </w:rPr>
        <w:t>Az R. 3. § (</w:t>
      </w:r>
      <w:r w:rsidR="00AA4E08">
        <w:rPr>
          <w:rFonts w:cs="Arial"/>
          <w:bCs/>
        </w:rPr>
        <w:t>2</w:t>
      </w:r>
      <w:r>
        <w:rPr>
          <w:rFonts w:cs="Arial"/>
          <w:bCs/>
        </w:rPr>
        <w:t>) bekezdésében a „melléklete” szövegrész helyébe az</w:t>
      </w:r>
      <w:r w:rsidR="00623711">
        <w:rPr>
          <w:rFonts w:cs="Arial"/>
          <w:bCs/>
        </w:rPr>
        <w:t xml:space="preserve"> „</w:t>
      </w:r>
      <w:r w:rsidR="00623711" w:rsidRPr="00453280">
        <w:rPr>
          <w:rFonts w:cs="Arial"/>
          <w:bCs/>
          <w:i/>
        </w:rPr>
        <w:t>1. melléklete</w:t>
      </w:r>
      <w:r w:rsidR="00623711">
        <w:rPr>
          <w:rFonts w:cs="Arial"/>
          <w:bCs/>
        </w:rPr>
        <w:t>” szöveg lép.</w:t>
      </w:r>
    </w:p>
    <w:p w:rsidR="008F0358" w:rsidRDefault="008F0358" w:rsidP="008F0358">
      <w:pPr>
        <w:autoSpaceDE w:val="0"/>
        <w:autoSpaceDN w:val="0"/>
        <w:adjustRightInd w:val="0"/>
        <w:spacing w:before="240" w:after="0" w:line="240" w:lineRule="auto"/>
        <w:ind w:firstLine="198"/>
        <w:jc w:val="center"/>
        <w:rPr>
          <w:rFonts w:cs="Arial"/>
          <w:bCs/>
        </w:rPr>
      </w:pPr>
      <w:r>
        <w:rPr>
          <w:rFonts w:cs="Arial"/>
          <w:bCs/>
        </w:rPr>
        <w:t>3</w:t>
      </w:r>
      <w:r w:rsidRPr="00B74A66">
        <w:rPr>
          <w:rFonts w:cs="Arial"/>
          <w:bCs/>
        </w:rPr>
        <w:t>. §</w:t>
      </w:r>
    </w:p>
    <w:p w:rsidR="00264295" w:rsidRPr="00453280" w:rsidRDefault="00264295" w:rsidP="00F315D0">
      <w:pPr>
        <w:autoSpaceDE w:val="0"/>
        <w:autoSpaceDN w:val="0"/>
        <w:adjustRightInd w:val="0"/>
        <w:spacing w:before="240" w:after="0" w:line="240" w:lineRule="auto"/>
        <w:ind w:firstLine="198"/>
        <w:jc w:val="both"/>
        <w:rPr>
          <w:rFonts w:cs="Arial"/>
        </w:rPr>
      </w:pPr>
      <w:r w:rsidRPr="00453280">
        <w:rPr>
          <w:rFonts w:cs="Arial"/>
        </w:rPr>
        <w:t>(1) A</w:t>
      </w:r>
      <w:r w:rsidR="00B655CE" w:rsidRPr="00453280">
        <w:rPr>
          <w:rFonts w:cs="Arial"/>
        </w:rPr>
        <w:t>z</w:t>
      </w:r>
      <w:r w:rsidRPr="00453280">
        <w:rPr>
          <w:rFonts w:cs="Arial"/>
        </w:rPr>
        <w:t xml:space="preserve"> </w:t>
      </w:r>
      <w:r w:rsidR="00F547EA" w:rsidRPr="00453280">
        <w:rPr>
          <w:rFonts w:cs="Arial"/>
        </w:rPr>
        <w:t>R.</w:t>
      </w:r>
      <w:r w:rsidRPr="00453280">
        <w:rPr>
          <w:rFonts w:cs="Arial"/>
        </w:rPr>
        <w:t xml:space="preserve"> melléklete </w:t>
      </w:r>
      <w:r w:rsidR="00B74A66">
        <w:rPr>
          <w:rFonts w:cs="Arial"/>
        </w:rPr>
        <w:t>helyébe a rendelet 1. melléklet</w:t>
      </w:r>
      <w:r w:rsidR="00623711">
        <w:rPr>
          <w:rFonts w:cs="Arial"/>
        </w:rPr>
        <w:t>e</w:t>
      </w:r>
      <w:r w:rsidR="00B74A66">
        <w:rPr>
          <w:rFonts w:cs="Arial"/>
        </w:rPr>
        <w:t xml:space="preserve"> lép</w:t>
      </w:r>
      <w:r w:rsidR="00507B4B" w:rsidRPr="00453280">
        <w:rPr>
          <w:rFonts w:cs="Arial"/>
        </w:rPr>
        <w:t xml:space="preserve">. </w:t>
      </w:r>
    </w:p>
    <w:p w:rsidR="00264295" w:rsidRDefault="00264295" w:rsidP="00F315D0">
      <w:pPr>
        <w:autoSpaceDE w:val="0"/>
        <w:autoSpaceDN w:val="0"/>
        <w:adjustRightInd w:val="0"/>
        <w:spacing w:before="120" w:after="240" w:line="240" w:lineRule="auto"/>
        <w:ind w:firstLine="198"/>
        <w:jc w:val="both"/>
        <w:rPr>
          <w:rFonts w:cs="Arial"/>
        </w:rPr>
      </w:pPr>
      <w:r w:rsidRPr="00453280">
        <w:rPr>
          <w:rFonts w:cs="Arial"/>
        </w:rPr>
        <w:t xml:space="preserve">(2) </w:t>
      </w:r>
      <w:bookmarkStart w:id="1" w:name="OLE_LINK8"/>
      <w:r w:rsidRPr="00453280">
        <w:rPr>
          <w:rFonts w:cs="Arial"/>
        </w:rPr>
        <w:t>A</w:t>
      </w:r>
      <w:r w:rsidR="00B655CE" w:rsidRPr="00453280">
        <w:rPr>
          <w:rFonts w:cs="Arial"/>
        </w:rPr>
        <w:t>z</w:t>
      </w:r>
      <w:r w:rsidRPr="00453280">
        <w:rPr>
          <w:rFonts w:cs="Arial"/>
        </w:rPr>
        <w:t xml:space="preserve"> </w:t>
      </w:r>
      <w:r w:rsidR="00F547EA" w:rsidRPr="00453280">
        <w:rPr>
          <w:rFonts w:cs="Arial"/>
        </w:rPr>
        <w:t>R.</w:t>
      </w:r>
      <w:r w:rsidRPr="00453280">
        <w:rPr>
          <w:rFonts w:cs="Arial"/>
        </w:rPr>
        <w:t xml:space="preserve"> </w:t>
      </w:r>
      <w:r w:rsidR="00B74A66">
        <w:rPr>
          <w:rFonts w:cs="Arial"/>
        </w:rPr>
        <w:t>kiegészül a rendelet 2. mellékletével</w:t>
      </w:r>
      <w:r w:rsidRPr="00453280">
        <w:rPr>
          <w:rFonts w:cs="Arial"/>
        </w:rPr>
        <w:t>.</w:t>
      </w:r>
      <w:bookmarkEnd w:id="1"/>
    </w:p>
    <w:p w:rsidR="00B74A66" w:rsidRPr="00453280" w:rsidRDefault="00B74A66" w:rsidP="00F315D0">
      <w:pPr>
        <w:autoSpaceDE w:val="0"/>
        <w:autoSpaceDN w:val="0"/>
        <w:adjustRightInd w:val="0"/>
        <w:spacing w:before="120" w:after="240" w:line="240" w:lineRule="auto"/>
        <w:ind w:firstLine="198"/>
        <w:jc w:val="both"/>
        <w:rPr>
          <w:rFonts w:cs="Arial"/>
        </w:rPr>
      </w:pPr>
    </w:p>
    <w:p w:rsidR="00B74A66" w:rsidRDefault="008F0358" w:rsidP="00453280">
      <w:pPr>
        <w:autoSpaceDE w:val="0"/>
        <w:autoSpaceDN w:val="0"/>
        <w:adjustRightInd w:val="0"/>
        <w:spacing w:before="240" w:after="240" w:line="240" w:lineRule="auto"/>
        <w:ind w:firstLine="198"/>
        <w:jc w:val="center"/>
        <w:rPr>
          <w:rFonts w:cs="Arial"/>
          <w:bCs/>
        </w:rPr>
      </w:pPr>
      <w:r>
        <w:rPr>
          <w:rFonts w:cs="Arial"/>
          <w:bCs/>
        </w:rPr>
        <w:t>4</w:t>
      </w:r>
      <w:r w:rsidR="00264295" w:rsidRPr="00453280">
        <w:rPr>
          <w:rFonts w:cs="Arial"/>
          <w:bCs/>
        </w:rPr>
        <w:t>. §</w:t>
      </w:r>
    </w:p>
    <w:p w:rsidR="00264295" w:rsidRPr="00453280" w:rsidRDefault="00264295" w:rsidP="00F315D0">
      <w:pPr>
        <w:autoSpaceDE w:val="0"/>
        <w:autoSpaceDN w:val="0"/>
        <w:adjustRightInd w:val="0"/>
        <w:spacing w:before="240" w:after="240" w:line="240" w:lineRule="auto"/>
        <w:ind w:firstLine="198"/>
        <w:jc w:val="both"/>
        <w:rPr>
          <w:rFonts w:cs="Arial"/>
        </w:rPr>
      </w:pPr>
      <w:r w:rsidRPr="00453280">
        <w:rPr>
          <w:rFonts w:cs="Arial"/>
          <w:iCs/>
        </w:rPr>
        <w:t xml:space="preserve"> </w:t>
      </w:r>
      <w:r w:rsidR="00FF2805">
        <w:rPr>
          <w:rFonts w:cs="Arial"/>
        </w:rPr>
        <w:t>A</w:t>
      </w:r>
      <w:r w:rsidRPr="00453280">
        <w:rPr>
          <w:rFonts w:cs="Arial"/>
        </w:rPr>
        <w:t xml:space="preserve"> rendelet a kihirdetését követő napon lép hatályba.</w:t>
      </w:r>
    </w:p>
    <w:p w:rsidR="00264295" w:rsidRDefault="00264295" w:rsidP="00264295">
      <w:pPr>
        <w:autoSpaceDE w:val="0"/>
        <w:autoSpaceDN w:val="0"/>
        <w:adjustRightInd w:val="0"/>
        <w:spacing w:after="240" w:line="240" w:lineRule="auto"/>
        <w:jc w:val="both"/>
        <w:rPr>
          <w:rFonts w:cs="Arial"/>
        </w:rPr>
      </w:pPr>
    </w:p>
    <w:tbl>
      <w:tblPr>
        <w:tblW w:w="0" w:type="auto"/>
        <w:jc w:val="center"/>
        <w:tblCellMar>
          <w:left w:w="70" w:type="dxa"/>
          <w:right w:w="70" w:type="dxa"/>
        </w:tblCellMar>
        <w:tblLook w:val="0000" w:firstRow="0" w:lastRow="0" w:firstColumn="0" w:lastColumn="0" w:noHBand="0" w:noVBand="0"/>
      </w:tblPr>
      <w:tblGrid>
        <w:gridCol w:w="4409"/>
        <w:gridCol w:w="4443"/>
      </w:tblGrid>
      <w:tr w:rsidR="00FF2805" w:rsidRPr="00BE438F" w:rsidTr="00B66248">
        <w:trPr>
          <w:jc w:val="center"/>
        </w:trPr>
        <w:tc>
          <w:tcPr>
            <w:tcW w:w="4409" w:type="dxa"/>
          </w:tcPr>
          <w:p w:rsidR="00FF2805" w:rsidRPr="00453280" w:rsidRDefault="00FF2805" w:rsidP="00B66248">
            <w:pPr>
              <w:jc w:val="center"/>
              <w:rPr>
                <w:rFonts w:cs="Arial"/>
                <w:sz w:val="24"/>
                <w:szCs w:val="24"/>
              </w:rPr>
            </w:pPr>
          </w:p>
          <w:p w:rsidR="00FF2805" w:rsidRPr="00453280" w:rsidRDefault="00FF2805" w:rsidP="00B66248">
            <w:pPr>
              <w:jc w:val="center"/>
              <w:rPr>
                <w:rFonts w:cs="Arial"/>
                <w:sz w:val="24"/>
                <w:szCs w:val="24"/>
              </w:rPr>
            </w:pPr>
            <w:r w:rsidRPr="00453280">
              <w:rPr>
                <w:rFonts w:cs="Arial"/>
                <w:sz w:val="24"/>
                <w:szCs w:val="24"/>
              </w:rPr>
              <w:t>Sárádi Kálmánné dr.</w:t>
            </w:r>
          </w:p>
        </w:tc>
        <w:tc>
          <w:tcPr>
            <w:tcW w:w="4443" w:type="dxa"/>
          </w:tcPr>
          <w:p w:rsidR="00FF2805" w:rsidRPr="00453280" w:rsidRDefault="00FF2805" w:rsidP="00B66248">
            <w:pPr>
              <w:jc w:val="center"/>
              <w:rPr>
                <w:rFonts w:cs="Arial"/>
                <w:sz w:val="24"/>
                <w:szCs w:val="24"/>
              </w:rPr>
            </w:pPr>
          </w:p>
          <w:p w:rsidR="00FF2805" w:rsidRPr="00453280" w:rsidRDefault="00FF2805" w:rsidP="00B66248">
            <w:pPr>
              <w:jc w:val="center"/>
              <w:rPr>
                <w:rFonts w:cs="Arial"/>
                <w:sz w:val="24"/>
                <w:szCs w:val="24"/>
              </w:rPr>
            </w:pPr>
            <w:r w:rsidRPr="00453280">
              <w:rPr>
                <w:rFonts w:cs="Arial"/>
                <w:sz w:val="24"/>
                <w:szCs w:val="24"/>
              </w:rPr>
              <w:t>Tarlós István</w:t>
            </w:r>
          </w:p>
        </w:tc>
      </w:tr>
      <w:tr w:rsidR="00FF2805" w:rsidRPr="00BE438F" w:rsidTr="00B66248">
        <w:trPr>
          <w:jc w:val="center"/>
        </w:trPr>
        <w:tc>
          <w:tcPr>
            <w:tcW w:w="4409" w:type="dxa"/>
          </w:tcPr>
          <w:p w:rsidR="00FF2805" w:rsidRPr="00453280" w:rsidRDefault="00FF2805" w:rsidP="00B66248">
            <w:pPr>
              <w:jc w:val="center"/>
              <w:rPr>
                <w:rFonts w:cs="Arial"/>
                <w:sz w:val="24"/>
                <w:szCs w:val="24"/>
              </w:rPr>
            </w:pPr>
            <w:r w:rsidRPr="00453280">
              <w:rPr>
                <w:rFonts w:cs="Arial"/>
                <w:sz w:val="24"/>
                <w:szCs w:val="24"/>
              </w:rPr>
              <w:t>főjegyző</w:t>
            </w:r>
          </w:p>
        </w:tc>
        <w:tc>
          <w:tcPr>
            <w:tcW w:w="4443" w:type="dxa"/>
          </w:tcPr>
          <w:p w:rsidR="00FF2805" w:rsidRPr="00453280" w:rsidRDefault="00FF2805" w:rsidP="00B66248">
            <w:pPr>
              <w:jc w:val="center"/>
              <w:rPr>
                <w:rFonts w:cs="Arial"/>
                <w:sz w:val="24"/>
                <w:szCs w:val="24"/>
              </w:rPr>
            </w:pPr>
            <w:r w:rsidRPr="00453280">
              <w:rPr>
                <w:rFonts w:cs="Arial"/>
                <w:sz w:val="24"/>
                <w:szCs w:val="24"/>
              </w:rPr>
              <w:t>főpolgármester</w:t>
            </w:r>
          </w:p>
        </w:tc>
      </w:tr>
    </w:tbl>
    <w:p w:rsidR="00FF2805" w:rsidRDefault="00FF2805" w:rsidP="00A26A7A">
      <w:pPr>
        <w:jc w:val="both"/>
        <w:rPr>
          <w:rFonts w:cs="Arial"/>
          <w:i/>
          <w:iCs/>
          <w:u w:val="single"/>
        </w:rPr>
      </w:pPr>
    </w:p>
    <w:p w:rsidR="00375F9F" w:rsidRDefault="00375F9F" w:rsidP="00375F9F">
      <w:pPr>
        <w:autoSpaceDE w:val="0"/>
        <w:autoSpaceDN w:val="0"/>
        <w:adjustRightInd w:val="0"/>
        <w:spacing w:after="0" w:line="240" w:lineRule="auto"/>
        <w:jc w:val="center"/>
      </w:pPr>
      <w:r>
        <w:lastRenderedPageBreak/>
        <w:t>INDOK</w:t>
      </w:r>
      <w:r w:rsidR="00F547EA">
        <w:t>O</w:t>
      </w:r>
      <w:r>
        <w:t>LÁS:</w:t>
      </w:r>
    </w:p>
    <w:p w:rsidR="0050052B" w:rsidRDefault="0050052B" w:rsidP="00375F9F">
      <w:pPr>
        <w:autoSpaceDE w:val="0"/>
        <w:autoSpaceDN w:val="0"/>
        <w:adjustRightInd w:val="0"/>
        <w:spacing w:after="0" w:line="240" w:lineRule="auto"/>
        <w:jc w:val="center"/>
      </w:pPr>
    </w:p>
    <w:p w:rsidR="0050052B" w:rsidRDefault="0050052B" w:rsidP="00375F9F">
      <w:pPr>
        <w:autoSpaceDE w:val="0"/>
        <w:autoSpaceDN w:val="0"/>
        <w:adjustRightInd w:val="0"/>
        <w:spacing w:after="0" w:line="240" w:lineRule="auto"/>
        <w:jc w:val="center"/>
      </w:pPr>
      <w:r>
        <w:t>Általános indokolás</w:t>
      </w:r>
    </w:p>
    <w:p w:rsidR="00375F9F" w:rsidRDefault="00375F9F" w:rsidP="003412D2">
      <w:pPr>
        <w:autoSpaceDE w:val="0"/>
        <w:autoSpaceDN w:val="0"/>
        <w:adjustRightInd w:val="0"/>
        <w:spacing w:after="0" w:line="240" w:lineRule="auto"/>
        <w:jc w:val="both"/>
      </w:pPr>
    </w:p>
    <w:p w:rsidR="003412D2" w:rsidRDefault="003412D2" w:rsidP="00F315D0">
      <w:pPr>
        <w:autoSpaceDE w:val="0"/>
        <w:autoSpaceDN w:val="0"/>
        <w:adjustRightInd w:val="0"/>
        <w:spacing w:before="120" w:after="120" w:line="240" w:lineRule="auto"/>
        <w:jc w:val="both"/>
      </w:pPr>
      <w:r>
        <w:t>A távhőszolgáltatá</w:t>
      </w:r>
      <w:r w:rsidR="00D25EB5">
        <w:t>s</w:t>
      </w:r>
      <w:r>
        <w:t xml:space="preserve">ról szóló 2005. évi XVIII. törvény (a továbbiakban: Tszt.) </w:t>
      </w:r>
      <w:r w:rsidRPr="003412D2">
        <w:t>3. § w)</w:t>
      </w:r>
      <w:r>
        <w:t xml:space="preserve"> pontja szerint</w:t>
      </w:r>
      <w:r w:rsidRPr="003412D2">
        <w:t xml:space="preserve"> külön kezelt intézmény</w:t>
      </w:r>
      <w:r>
        <w:t xml:space="preserve"> az</w:t>
      </w:r>
      <w:r w:rsidRPr="003412D2">
        <w:t xml:space="preserve"> egyéb felhasználók közül a központi költségvetési szerv, a központi költségvetési szerv költségvetési intézménye, a helyi önkormányzat, a helyi önkormányzat költségvetési intézménye, valamint a normatív állami támogatásban részesülő, közfeladatot ellátó, nem nyereség- és vagyonszerzési célt szolgáló egyéb intézmény.</w:t>
      </w:r>
    </w:p>
    <w:p w:rsidR="005542ED" w:rsidRDefault="003412D2" w:rsidP="00F315D0">
      <w:pPr>
        <w:autoSpaceDE w:val="0"/>
        <w:autoSpaceDN w:val="0"/>
        <w:adjustRightInd w:val="0"/>
        <w:spacing w:before="120" w:after="120" w:line="240" w:lineRule="auto"/>
        <w:jc w:val="both"/>
      </w:pPr>
      <w:r>
        <w:t>A Tszt.</w:t>
      </w:r>
      <w:r w:rsidR="00BD2DDA">
        <w:t xml:space="preserve"> </w:t>
      </w:r>
      <w:r w:rsidR="005542ED" w:rsidRPr="00565340">
        <w:t xml:space="preserve">57/D. § (1) </w:t>
      </w:r>
      <w:r w:rsidR="005542ED">
        <w:t xml:space="preserve">bekezdése alapján </w:t>
      </w:r>
      <w:r w:rsidR="005542ED" w:rsidRPr="00565340">
        <w:t xml:space="preserve">a lakossági felhasználónak és a külön kezelt intézménynek nyújtott távhőszolgáltatás (fűtés és használati melegvíz) díját - mint legmagasabb hatósági árat (a továbbiakban együtt: hatósági ár) -, a hatósági ár szerkezetét és alkalmazási feltételeit a </w:t>
      </w:r>
      <w:r w:rsidR="005542ED">
        <w:t>Magyar Energetikai és Közmű-szabályozási Hivatal</w:t>
      </w:r>
      <w:r w:rsidR="005542ED" w:rsidRPr="00565340">
        <w:t xml:space="preserve"> javaslatának figyelembevételével a miniszter rendeletben állapítja meg.</w:t>
      </w:r>
    </w:p>
    <w:p w:rsidR="00BD2DDA" w:rsidRDefault="00BD2DDA" w:rsidP="00F315D0">
      <w:pPr>
        <w:autoSpaceDE w:val="0"/>
        <w:autoSpaceDN w:val="0"/>
        <w:adjustRightInd w:val="0"/>
        <w:spacing w:before="120" w:after="120" w:line="240" w:lineRule="auto"/>
        <w:jc w:val="both"/>
      </w:pPr>
      <w:r>
        <w:t xml:space="preserve">A Tszt. </w:t>
      </w:r>
      <w:r w:rsidRPr="00565340">
        <w:t xml:space="preserve">57/E. § (2) </w:t>
      </w:r>
      <w:r>
        <w:t>bekezdése szerint a</w:t>
      </w:r>
      <w:r w:rsidRPr="00565340">
        <w:t xml:space="preserve"> hatósági ártól lefelé megkülönböztetés-mentesen, előre nyilvánosságra hozott módon lehet eltérni.</w:t>
      </w:r>
    </w:p>
    <w:p w:rsidR="00B17458" w:rsidRPr="00B17458" w:rsidRDefault="00B17458" w:rsidP="00B17458">
      <w:pPr>
        <w:autoSpaceDE w:val="0"/>
        <w:autoSpaceDN w:val="0"/>
        <w:adjustRightInd w:val="0"/>
        <w:spacing w:before="120" w:after="120" w:line="240" w:lineRule="auto"/>
        <w:jc w:val="both"/>
      </w:pPr>
      <w:r w:rsidRPr="00B17458">
        <w:t>A Tszt. 6. § (2) bekezdés b) pontja és 57/D. § (1) bekezdése együttes értelmezése alapján a Budapest főváros területén végzett távhőszolgáltatás vonatkozásában a külön kezelt intézményekre megállapított hatósági ártól lefelé történő - a Tszt. 57/E. § (2) bekezdésében meghatározott követelményeknek megfelelő - eltérés feltételrendszerét, mint miniszteri rendeletben nem szabály</w:t>
      </w:r>
      <w:r>
        <w:t xml:space="preserve">ozott díjalkalmazási feltételt </w:t>
      </w:r>
      <w:r w:rsidRPr="00B17458">
        <w:t xml:space="preserve"> Budapest Főváros Önkormányzat</w:t>
      </w:r>
      <w:r w:rsidR="00AC0FA9">
        <w:t>á</w:t>
      </w:r>
      <w:r w:rsidRPr="00B17458">
        <w:t>nak rendeletben szükséges rögzítenie.</w:t>
      </w:r>
    </w:p>
    <w:p w:rsidR="00550B44" w:rsidRDefault="00FF10BA" w:rsidP="00F315D0">
      <w:pPr>
        <w:autoSpaceDE w:val="0"/>
        <w:autoSpaceDN w:val="0"/>
        <w:adjustRightInd w:val="0"/>
        <w:spacing w:before="120" w:after="120" w:line="240" w:lineRule="auto"/>
        <w:jc w:val="both"/>
      </w:pPr>
      <w:r w:rsidDel="00FF10BA">
        <w:t xml:space="preserve"> </w:t>
      </w:r>
      <w:r w:rsidR="00264295" w:rsidRPr="00264295">
        <w:t>A külön kezelt intézményekre megállapított hatósági ártól lefelé történő</w:t>
      </w:r>
      <w:r w:rsidR="00550B44">
        <w:t xml:space="preserve"> eltérés lehetőségét és</w:t>
      </w:r>
      <w:r w:rsidR="00550B44" w:rsidRPr="00264295">
        <w:t xml:space="preserve"> </w:t>
      </w:r>
      <w:r w:rsidR="00400AED">
        <w:t>feltétel</w:t>
      </w:r>
      <w:r w:rsidR="00264295" w:rsidRPr="00264295">
        <w:t>rendszer</w:t>
      </w:r>
      <w:r w:rsidR="00550B44">
        <w:t>ét</w:t>
      </w:r>
      <w:r w:rsidR="00264295" w:rsidRPr="00264295">
        <w:t xml:space="preserve"> </w:t>
      </w:r>
      <w:r w:rsidR="00264295">
        <w:t xml:space="preserve">jelenleg </w:t>
      </w:r>
      <w:r w:rsidR="00264295" w:rsidRPr="00264295">
        <w:t>miniszteri rendelet</w:t>
      </w:r>
      <w:r w:rsidR="00550B44">
        <w:t xml:space="preserve"> nem szabályozza, így lehetőség van arra, hogy azt a Fővárosi Közgyűlés rendeletében szabályozza. </w:t>
      </w:r>
    </w:p>
    <w:p w:rsidR="00B17458" w:rsidRDefault="00B17458" w:rsidP="00F315D0">
      <w:pPr>
        <w:autoSpaceDE w:val="0"/>
        <w:autoSpaceDN w:val="0"/>
        <w:adjustRightInd w:val="0"/>
        <w:spacing w:before="120" w:after="120" w:line="240" w:lineRule="auto"/>
        <w:jc w:val="both"/>
      </w:pPr>
    </w:p>
    <w:p w:rsidR="00264295" w:rsidRPr="00264295" w:rsidRDefault="00550B44" w:rsidP="00F315D0">
      <w:pPr>
        <w:autoSpaceDE w:val="0"/>
        <w:autoSpaceDN w:val="0"/>
        <w:adjustRightInd w:val="0"/>
        <w:spacing w:before="120" w:after="120" w:line="240" w:lineRule="auto"/>
        <w:jc w:val="both"/>
      </w:pPr>
      <w:r>
        <w:t xml:space="preserve">Tekintettel arra, hogy a </w:t>
      </w:r>
      <w:r w:rsidR="00A71B4C">
        <w:t>külön kezelt intézményi státusszal rendelkező felhasználók költségvetési forrásból gazdálkodó, közfeladatot ellátó</w:t>
      </w:r>
      <w:r w:rsidR="0098078D">
        <w:t>, jelenleg távhővel még el nem látott</w:t>
      </w:r>
      <w:r w:rsidR="00A71B4C">
        <w:t xml:space="preserve"> intézmények</w:t>
      </w:r>
      <w:r w:rsidR="0098078D">
        <w:t xml:space="preserve"> csatlakozásának elősegítésére</w:t>
      </w:r>
      <w:r w:rsidR="00A71B4C">
        <w:t xml:space="preserve"> indokolt a</w:t>
      </w:r>
      <w:r w:rsidR="00B17458">
        <w:t xml:space="preserve"> legmagasabb hatósági árnál alacsonyabb</w:t>
      </w:r>
      <w:r w:rsidR="00A71B4C">
        <w:t xml:space="preserve"> áron történő szolgáltatás nyújtás lehetőségének biztosítása. </w:t>
      </w:r>
      <w:r>
        <w:t>Ennek megfelelően a külön kezelt intézménynek nyújtott távhőszolgáltatási díjtól lefelé történő eltérés pontos mértékét, a kedvezmény biztosításának feltételeit, továbbá eljárási rendjét jelen rendeletmódosítás szabályozza.</w:t>
      </w:r>
    </w:p>
    <w:p w:rsidR="00B17458" w:rsidRDefault="00B17458">
      <w:pPr>
        <w:autoSpaceDE w:val="0"/>
        <w:autoSpaceDN w:val="0"/>
        <w:adjustRightInd w:val="0"/>
        <w:spacing w:before="120" w:after="120" w:line="240" w:lineRule="auto"/>
        <w:jc w:val="both"/>
      </w:pPr>
    </w:p>
    <w:p w:rsidR="0050052B" w:rsidRDefault="0050052B" w:rsidP="00F3369F">
      <w:pPr>
        <w:autoSpaceDE w:val="0"/>
        <w:autoSpaceDN w:val="0"/>
        <w:adjustRightInd w:val="0"/>
        <w:spacing w:before="120" w:after="120" w:line="240" w:lineRule="auto"/>
        <w:jc w:val="center"/>
      </w:pPr>
      <w:r>
        <w:t>Részletes indokolás</w:t>
      </w:r>
    </w:p>
    <w:p w:rsidR="0050052B" w:rsidRDefault="0050052B" w:rsidP="0050052B">
      <w:pPr>
        <w:autoSpaceDE w:val="0"/>
        <w:autoSpaceDN w:val="0"/>
        <w:adjustRightInd w:val="0"/>
        <w:spacing w:before="120" w:after="120" w:line="240" w:lineRule="auto"/>
        <w:jc w:val="both"/>
      </w:pPr>
    </w:p>
    <w:p w:rsidR="0050052B" w:rsidRDefault="0050052B" w:rsidP="00F3369F">
      <w:pPr>
        <w:pStyle w:val="Listaszerbekezds"/>
        <w:numPr>
          <w:ilvl w:val="0"/>
          <w:numId w:val="7"/>
        </w:numPr>
        <w:autoSpaceDE w:val="0"/>
        <w:autoSpaceDN w:val="0"/>
        <w:adjustRightInd w:val="0"/>
        <w:spacing w:before="120" w:after="120" w:line="240" w:lineRule="auto"/>
        <w:jc w:val="center"/>
      </w:pPr>
      <w:r>
        <w:t>§-hoz</w:t>
      </w:r>
    </w:p>
    <w:p w:rsidR="0050052B" w:rsidRDefault="0050052B" w:rsidP="00F3369F">
      <w:pPr>
        <w:pStyle w:val="Listaszerbekezds"/>
        <w:autoSpaceDE w:val="0"/>
        <w:autoSpaceDN w:val="0"/>
        <w:adjustRightInd w:val="0"/>
        <w:spacing w:before="120" w:after="120" w:line="240" w:lineRule="auto"/>
        <w:jc w:val="both"/>
      </w:pPr>
    </w:p>
    <w:p w:rsidR="0098078D" w:rsidRDefault="0050052B">
      <w:pPr>
        <w:autoSpaceDE w:val="0"/>
        <w:autoSpaceDN w:val="0"/>
        <w:adjustRightInd w:val="0"/>
        <w:spacing w:before="120" w:after="120" w:line="240" w:lineRule="auto"/>
        <w:jc w:val="both"/>
      </w:pPr>
      <w:r>
        <w:t xml:space="preserve">Ezen szakasz és a rendelet módosítás melléklete megvalósítja a Tszt. </w:t>
      </w:r>
      <w:r w:rsidRPr="00565340">
        <w:t xml:space="preserve">57/E. § (2) </w:t>
      </w:r>
      <w:r>
        <w:t>bekezdésében meghatározott azon követelményt, hogy a</w:t>
      </w:r>
      <w:r w:rsidRPr="00565340">
        <w:t xml:space="preserve"> hatósági ártól lefelé megkülönböztetés-mentesen, előre nyilvánosságra hozott módon lehet eltérni</w:t>
      </w:r>
      <w:r>
        <w:t>.</w:t>
      </w:r>
    </w:p>
    <w:p w:rsidR="008F0358" w:rsidRDefault="008F0358">
      <w:pPr>
        <w:autoSpaceDE w:val="0"/>
        <w:autoSpaceDN w:val="0"/>
        <w:adjustRightInd w:val="0"/>
        <w:spacing w:before="120" w:after="120" w:line="240" w:lineRule="auto"/>
        <w:jc w:val="both"/>
      </w:pPr>
    </w:p>
    <w:p w:rsidR="008F0358" w:rsidRDefault="008F0358" w:rsidP="00453280">
      <w:pPr>
        <w:pStyle w:val="Listaszerbekezds"/>
        <w:numPr>
          <w:ilvl w:val="0"/>
          <w:numId w:val="7"/>
        </w:numPr>
        <w:autoSpaceDE w:val="0"/>
        <w:autoSpaceDN w:val="0"/>
        <w:adjustRightInd w:val="0"/>
        <w:spacing w:before="120" w:after="120" w:line="240" w:lineRule="auto"/>
        <w:jc w:val="center"/>
      </w:pPr>
      <w:r>
        <w:t>§-hoz</w:t>
      </w:r>
    </w:p>
    <w:p w:rsidR="008F0358" w:rsidRDefault="008F0358" w:rsidP="00453280">
      <w:pPr>
        <w:pStyle w:val="Listaszerbekezds"/>
        <w:autoSpaceDE w:val="0"/>
        <w:autoSpaceDN w:val="0"/>
        <w:adjustRightInd w:val="0"/>
        <w:spacing w:before="120" w:after="120" w:line="240" w:lineRule="auto"/>
        <w:jc w:val="both"/>
      </w:pPr>
    </w:p>
    <w:p w:rsidR="008F0358" w:rsidRDefault="009660C6">
      <w:pPr>
        <w:autoSpaceDE w:val="0"/>
        <w:autoSpaceDN w:val="0"/>
        <w:adjustRightInd w:val="0"/>
        <w:spacing w:before="120" w:after="120" w:line="240" w:lineRule="auto"/>
        <w:jc w:val="both"/>
      </w:pPr>
      <w:r>
        <w:rPr>
          <w:rFonts w:cs="Arial"/>
        </w:rPr>
        <w:t>Figyelemmel arra, hogy a</w:t>
      </w:r>
      <w:r w:rsidRPr="00453280">
        <w:rPr>
          <w:rFonts w:cs="Arial"/>
        </w:rPr>
        <w:t xml:space="preserve">z R. </w:t>
      </w:r>
      <w:r>
        <w:rPr>
          <w:rFonts w:cs="Arial"/>
        </w:rPr>
        <w:t>kiegészül a rendelet 2. mellékletével, szükségessé vált a mellékletek megjelölésének pontosítása</w:t>
      </w:r>
      <w:r w:rsidRPr="00453280">
        <w:rPr>
          <w:rFonts w:cs="Arial"/>
        </w:rPr>
        <w:t>.</w:t>
      </w:r>
    </w:p>
    <w:p w:rsidR="00E50695" w:rsidRDefault="00E50695" w:rsidP="00453280">
      <w:pPr>
        <w:pStyle w:val="Listaszerbekezds"/>
        <w:numPr>
          <w:ilvl w:val="0"/>
          <w:numId w:val="7"/>
        </w:numPr>
        <w:autoSpaceDE w:val="0"/>
        <w:autoSpaceDN w:val="0"/>
        <w:adjustRightInd w:val="0"/>
        <w:spacing w:before="120" w:after="120" w:line="240" w:lineRule="auto"/>
        <w:jc w:val="center"/>
      </w:pPr>
      <w:r>
        <w:lastRenderedPageBreak/>
        <w:t>§-hoz</w:t>
      </w:r>
    </w:p>
    <w:p w:rsidR="00E50695" w:rsidRDefault="00E50695" w:rsidP="00E50695">
      <w:pPr>
        <w:autoSpaceDE w:val="0"/>
        <w:autoSpaceDN w:val="0"/>
        <w:adjustRightInd w:val="0"/>
        <w:spacing w:before="120" w:after="120" w:line="240" w:lineRule="auto"/>
        <w:jc w:val="both"/>
      </w:pPr>
      <w:r>
        <w:t>Tekintettel arra, hogy a R. módosítás eredményeképpen a R</w:t>
      </w:r>
      <w:r w:rsidR="00AC0FA9">
        <w:t>.</w:t>
      </w:r>
      <w:r>
        <w:t xml:space="preserve"> új melléklettel bővül, indokolttá vált a meglévő melléklet sorszámmal történő ellátása.</w:t>
      </w:r>
    </w:p>
    <w:p w:rsidR="005B5027" w:rsidRDefault="005B5027" w:rsidP="00453280">
      <w:pPr>
        <w:pStyle w:val="Listaszerbekezds"/>
        <w:numPr>
          <w:ilvl w:val="0"/>
          <w:numId w:val="7"/>
        </w:numPr>
        <w:autoSpaceDE w:val="0"/>
        <w:autoSpaceDN w:val="0"/>
        <w:adjustRightInd w:val="0"/>
        <w:spacing w:before="120" w:after="120" w:line="240" w:lineRule="auto"/>
        <w:jc w:val="center"/>
      </w:pPr>
      <w:r>
        <w:t>§-hoz</w:t>
      </w:r>
    </w:p>
    <w:p w:rsidR="005B5027" w:rsidRDefault="00FD781C" w:rsidP="00E50695">
      <w:pPr>
        <w:autoSpaceDE w:val="0"/>
        <w:autoSpaceDN w:val="0"/>
        <w:adjustRightInd w:val="0"/>
        <w:spacing w:before="120" w:after="120" w:line="240" w:lineRule="auto"/>
        <w:jc w:val="both"/>
      </w:pPr>
      <w:r>
        <w:t>A rendelet hatályba lépéséről rendelkezik.</w:t>
      </w:r>
    </w:p>
    <w:p w:rsidR="00B66248" w:rsidRDefault="00B66248" w:rsidP="00E50695">
      <w:pPr>
        <w:autoSpaceDE w:val="0"/>
        <w:autoSpaceDN w:val="0"/>
        <w:adjustRightInd w:val="0"/>
        <w:spacing w:before="120" w:after="120" w:line="240" w:lineRule="auto"/>
        <w:jc w:val="both"/>
      </w:pPr>
    </w:p>
    <w:p w:rsidR="00B66248" w:rsidRDefault="00B66248" w:rsidP="00B66248">
      <w:pPr>
        <w:jc w:val="both"/>
        <w:rPr>
          <w:rFonts w:cs="Arial"/>
          <w:i/>
          <w:iCs/>
          <w:u w:val="single"/>
        </w:rPr>
      </w:pPr>
    </w:p>
    <w:p w:rsidR="00B66248" w:rsidRPr="00453280" w:rsidRDefault="00B66248" w:rsidP="00B66248">
      <w:pPr>
        <w:jc w:val="right"/>
        <w:rPr>
          <w:rFonts w:cs="Arial"/>
          <w:iCs/>
        </w:rPr>
      </w:pPr>
      <w:r w:rsidRPr="00453280">
        <w:rPr>
          <w:rFonts w:cs="Arial"/>
          <w:iCs/>
        </w:rPr>
        <w:t>1. melléklet a …/2016. (…) Főv. Kgy. rendelethez</w:t>
      </w:r>
    </w:p>
    <w:p w:rsidR="00B66248" w:rsidRDefault="00B66248" w:rsidP="00453280">
      <w:pPr>
        <w:spacing w:before="240" w:after="240"/>
        <w:jc w:val="center"/>
        <w:rPr>
          <w:i/>
          <w:iCs/>
          <w:sz w:val="28"/>
          <w:szCs w:val="28"/>
          <w:u w:val="single"/>
        </w:rPr>
      </w:pPr>
    </w:p>
    <w:p w:rsidR="00B66248" w:rsidRPr="00B66248" w:rsidRDefault="00B66248" w:rsidP="00453280">
      <w:pPr>
        <w:spacing w:before="240" w:after="240"/>
        <w:jc w:val="center"/>
      </w:pPr>
      <w:r w:rsidRPr="00453280">
        <w:rPr>
          <w:i/>
          <w:iCs/>
        </w:rPr>
        <w:t>„1. melléklet a 66/2012. (IX. 28.) Főv. Kgy. rendelethez</w:t>
      </w:r>
    </w:p>
    <w:p w:rsidR="00B66248" w:rsidRPr="00B66248" w:rsidRDefault="00B66248" w:rsidP="00B66248">
      <w:pPr>
        <w:spacing w:before="240" w:after="240"/>
        <w:jc w:val="center"/>
      </w:pPr>
      <w:r w:rsidRPr="00453280">
        <w:rPr>
          <w:b/>
          <w:bCs/>
          <w:i/>
          <w:iCs/>
        </w:rPr>
        <w:t>Területfejlesztési, környezetvédelmi és levegő-tisztaságvédelmi szempontok alapján távhőszolgáltatás fejlesztésére kijelölt, kiemelten kezelendő területek Budapest főváros területén</w:t>
      </w:r>
    </w:p>
    <w:p w:rsidR="00B66248" w:rsidRPr="00453280" w:rsidRDefault="00B66248" w:rsidP="00B66248">
      <w:pPr>
        <w:ind w:firstLine="204"/>
        <w:jc w:val="both"/>
        <w:rPr>
          <w:i/>
        </w:rPr>
      </w:pPr>
      <w:r w:rsidRPr="00453280">
        <w:rPr>
          <w:i/>
        </w:rPr>
        <w:t>1. Az I. kerület egész területe.</w:t>
      </w:r>
    </w:p>
    <w:p w:rsidR="00B66248" w:rsidRPr="00453280" w:rsidRDefault="00B66248" w:rsidP="00B66248">
      <w:pPr>
        <w:ind w:firstLine="198"/>
        <w:jc w:val="both"/>
        <w:rPr>
          <w:i/>
        </w:rPr>
      </w:pPr>
      <w:r w:rsidRPr="00453280">
        <w:rPr>
          <w:i/>
        </w:rPr>
        <w:t>2. A III. kerületben az Árpád fejedelem útja, Óbudai rakpart, Jégtörő utca, Gázgyár utca, Keled út, Pomázi út, Bécsi út, Szépvölgyi út által határolt terület.</w:t>
      </w:r>
    </w:p>
    <w:p w:rsidR="00B66248" w:rsidRPr="00453280" w:rsidRDefault="00B66248" w:rsidP="00B66248">
      <w:pPr>
        <w:ind w:firstLine="198"/>
        <w:jc w:val="both"/>
        <w:rPr>
          <w:i/>
        </w:rPr>
      </w:pPr>
      <w:r w:rsidRPr="00453280">
        <w:rPr>
          <w:i/>
        </w:rPr>
        <w:t>3. Az V. kerület egész területe.</w:t>
      </w:r>
    </w:p>
    <w:p w:rsidR="00B66248" w:rsidRPr="00453280" w:rsidRDefault="00B66248" w:rsidP="00B66248">
      <w:pPr>
        <w:ind w:firstLine="198"/>
        <w:jc w:val="both"/>
        <w:rPr>
          <w:i/>
        </w:rPr>
      </w:pPr>
      <w:r w:rsidRPr="00453280">
        <w:rPr>
          <w:i/>
        </w:rPr>
        <w:t>4. A VI. kerületben a Nyugati tér, Teréz körút, Aradi utca, Lendvay utca, Dózsa György út, Délibáb utca, Bajza utca, Benczúr utca, Felső erdősor utca, Szegfű utca, Hunyadi tér, (az Andrássy út világörökség területét érintő ingatlanok), Teréz körút, Király utca, Deák Ferenc tér, Bajcsy-Zsilinszky út által határolt terület.</w:t>
      </w:r>
    </w:p>
    <w:p w:rsidR="00B66248" w:rsidRPr="00453280" w:rsidRDefault="00B66248" w:rsidP="00B66248">
      <w:pPr>
        <w:ind w:firstLine="198"/>
        <w:jc w:val="both"/>
        <w:rPr>
          <w:i/>
        </w:rPr>
      </w:pPr>
      <w:r w:rsidRPr="00453280">
        <w:rPr>
          <w:i/>
        </w:rPr>
        <w:t>5. A VII. kerületben a Király utca, Erzsébet körút, Rákóczi út, Károly körút által határolt terület.</w:t>
      </w:r>
    </w:p>
    <w:p w:rsidR="00B66248" w:rsidRDefault="00B66248" w:rsidP="00B66248">
      <w:pPr>
        <w:ind w:firstLine="198"/>
        <w:jc w:val="both"/>
        <w:rPr>
          <w:i/>
        </w:rPr>
      </w:pPr>
      <w:r w:rsidRPr="00453280">
        <w:rPr>
          <w:i/>
        </w:rPr>
        <w:t>6. A XIII. kerületben a Szent István körút, Váci út, Lehel tér, Lehel út, Béke út, Kámfor utca és a Duna által határolt terület.”</w:t>
      </w:r>
    </w:p>
    <w:p w:rsidR="00BF0EAB" w:rsidRDefault="00BF0EAB" w:rsidP="00B66248">
      <w:pPr>
        <w:jc w:val="right"/>
        <w:rPr>
          <w:rFonts w:cs="Arial"/>
          <w:iCs/>
        </w:rPr>
      </w:pPr>
    </w:p>
    <w:p w:rsidR="00B66248" w:rsidRPr="00453280" w:rsidRDefault="00B66248" w:rsidP="00B66248">
      <w:pPr>
        <w:jc w:val="right"/>
        <w:rPr>
          <w:rFonts w:cs="Arial"/>
          <w:iCs/>
        </w:rPr>
      </w:pPr>
      <w:r w:rsidRPr="00453280">
        <w:rPr>
          <w:rFonts w:cs="Arial"/>
          <w:iCs/>
        </w:rPr>
        <w:t>2. melléklet a …/2016. (…) Főv. Kgy. rendelethez</w:t>
      </w:r>
    </w:p>
    <w:p w:rsidR="00B66248" w:rsidRDefault="00B66248" w:rsidP="00B66248">
      <w:pPr>
        <w:jc w:val="right"/>
        <w:rPr>
          <w:rFonts w:cs="Arial"/>
          <w:i/>
          <w:iCs/>
          <w:u w:val="single"/>
        </w:rPr>
      </w:pPr>
    </w:p>
    <w:p w:rsidR="00B66248" w:rsidRPr="00A26A7A" w:rsidRDefault="00B66248" w:rsidP="00B66248">
      <w:pPr>
        <w:jc w:val="center"/>
        <w:rPr>
          <w:rFonts w:cs="Arial"/>
          <w:i/>
          <w:iCs/>
        </w:rPr>
      </w:pPr>
      <w:r w:rsidRPr="00A26A7A">
        <w:rPr>
          <w:rFonts w:cs="Arial"/>
          <w:i/>
          <w:iCs/>
        </w:rPr>
        <w:t>„2. melléklet a 66/2012. (IX. 28.) Főv. Kgy. rendelethez</w:t>
      </w:r>
    </w:p>
    <w:p w:rsidR="009D17A7" w:rsidRDefault="00B66248" w:rsidP="00453280">
      <w:pPr>
        <w:jc w:val="center"/>
        <w:rPr>
          <w:rFonts w:cs="Arial"/>
          <w:b/>
          <w:bCs/>
          <w:i/>
          <w:iCs/>
        </w:rPr>
      </w:pPr>
      <w:r w:rsidRPr="00A26A7A">
        <w:rPr>
          <w:rFonts w:cs="Arial"/>
          <w:b/>
          <w:bCs/>
          <w:i/>
          <w:iCs/>
        </w:rPr>
        <w:t>A hatósági ártól lefelé történő eltérés és annak feltételei</w:t>
      </w:r>
      <w:r>
        <w:rPr>
          <w:rFonts w:cs="Arial"/>
          <w:b/>
          <w:bCs/>
          <w:i/>
          <w:iCs/>
        </w:rPr>
        <w:t xml:space="preserve"> </w:t>
      </w:r>
    </w:p>
    <w:p w:rsidR="00B66248" w:rsidRDefault="00B66248" w:rsidP="00453280">
      <w:pPr>
        <w:jc w:val="center"/>
        <w:rPr>
          <w:rFonts w:cs="Arial"/>
          <w:b/>
          <w:bCs/>
          <w:i/>
          <w:iCs/>
        </w:rPr>
      </w:pPr>
      <w:r w:rsidRPr="00A26A7A">
        <w:rPr>
          <w:rFonts w:cs="Arial"/>
          <w:b/>
          <w:bCs/>
          <w:i/>
          <w:iCs/>
        </w:rPr>
        <w:t>külön kezelt intézmények</w:t>
      </w:r>
      <w:r>
        <w:rPr>
          <w:rFonts w:cs="Arial"/>
          <w:b/>
          <w:bCs/>
          <w:i/>
          <w:iCs/>
        </w:rPr>
        <w:t xml:space="preserve"> esetén</w:t>
      </w:r>
    </w:p>
    <w:p w:rsidR="006C05A9" w:rsidRDefault="006C05A9" w:rsidP="00B66248">
      <w:pPr>
        <w:jc w:val="both"/>
        <w:rPr>
          <w:rFonts w:cs="Arial"/>
          <w:b/>
          <w:bCs/>
          <w:i/>
          <w:iCs/>
        </w:rPr>
      </w:pPr>
    </w:p>
    <w:p w:rsidR="00BF0EAB" w:rsidRPr="00A26A7A" w:rsidRDefault="00BF0EAB" w:rsidP="00B66248">
      <w:pPr>
        <w:jc w:val="both"/>
        <w:rPr>
          <w:rFonts w:cs="Arial"/>
          <w:b/>
          <w:bCs/>
          <w:i/>
          <w:iCs/>
        </w:rPr>
      </w:pPr>
    </w:p>
    <w:p w:rsidR="00B66248" w:rsidRDefault="00B66248" w:rsidP="00B66248">
      <w:pPr>
        <w:pStyle w:val="Listaszerbekezds"/>
        <w:numPr>
          <w:ilvl w:val="0"/>
          <w:numId w:val="10"/>
        </w:numPr>
        <w:jc w:val="both"/>
        <w:rPr>
          <w:rFonts w:cs="Arial"/>
          <w:i/>
          <w:iCs/>
          <w:u w:val="single"/>
        </w:rPr>
      </w:pPr>
      <w:r w:rsidRPr="00FF2805">
        <w:rPr>
          <w:rFonts w:cs="Arial"/>
          <w:i/>
          <w:iCs/>
          <w:u w:val="single"/>
        </w:rPr>
        <w:lastRenderedPageBreak/>
        <w:t>Alapdíj</w:t>
      </w:r>
      <w:r w:rsidR="006C05A9">
        <w:rPr>
          <w:rFonts w:cs="Arial"/>
          <w:i/>
          <w:iCs/>
          <w:u w:val="single"/>
        </w:rPr>
        <w:t>-</w:t>
      </w:r>
      <w:r w:rsidRPr="00FF2805">
        <w:rPr>
          <w:rFonts w:cs="Arial"/>
          <w:i/>
          <w:iCs/>
          <w:u w:val="single"/>
        </w:rPr>
        <w:t>kedvezmény biztosításának feltételei:</w:t>
      </w:r>
    </w:p>
    <w:p w:rsidR="00B66248" w:rsidRPr="00FF2805" w:rsidRDefault="00B66248" w:rsidP="00453280">
      <w:pPr>
        <w:pStyle w:val="Listaszerbekezds"/>
        <w:jc w:val="both"/>
        <w:rPr>
          <w:rFonts w:cs="Arial"/>
          <w:i/>
          <w:iCs/>
          <w:u w:val="single"/>
        </w:rPr>
      </w:pPr>
    </w:p>
    <w:p w:rsidR="00B66248" w:rsidRPr="00453280" w:rsidRDefault="00B66248" w:rsidP="00B66248">
      <w:pPr>
        <w:pStyle w:val="Listaszerbekezds"/>
        <w:numPr>
          <w:ilvl w:val="1"/>
          <w:numId w:val="10"/>
        </w:numPr>
        <w:jc w:val="both"/>
        <w:rPr>
          <w:rFonts w:cs="Arial"/>
          <w:b/>
          <w:i/>
          <w:iCs/>
        </w:rPr>
      </w:pPr>
      <w:r>
        <w:rPr>
          <w:rFonts w:cs="Arial"/>
          <w:i/>
          <w:iCs/>
        </w:rPr>
        <w:t>A</w:t>
      </w:r>
      <w:r w:rsidRPr="00B66248">
        <w:rPr>
          <w:rFonts w:cs="Arial"/>
          <w:i/>
          <w:iCs/>
        </w:rPr>
        <w:t xml:space="preserve"> felhasználó új felhasználónak minősül</w:t>
      </w:r>
      <w:r>
        <w:rPr>
          <w:rFonts w:cs="Arial"/>
          <w:i/>
          <w:iCs/>
        </w:rPr>
        <w:t xml:space="preserve"> (</w:t>
      </w:r>
      <w:r w:rsidRPr="00B66248">
        <w:rPr>
          <w:rFonts w:cs="Arial"/>
          <w:i/>
          <w:iCs/>
        </w:rPr>
        <w:t>a távhőellátás igénybevételére vonatkozó írásbeli bejelentése benyújtását megelőző 5 (öt) éven belül az adott felhasználási helyen a felhasználó vagy jogelődje nem vette igénybe a FŐTÁV Zrt. távhőszolgáltatását</w:t>
      </w:r>
      <w:r>
        <w:rPr>
          <w:rFonts w:cs="Arial"/>
          <w:i/>
          <w:iCs/>
        </w:rPr>
        <w:t>).</w:t>
      </w:r>
      <w:r w:rsidRPr="00B66248">
        <w:rPr>
          <w:rFonts w:cs="Arial"/>
          <w:i/>
          <w:iCs/>
        </w:rPr>
        <w:t xml:space="preserve"> </w:t>
      </w:r>
    </w:p>
    <w:p w:rsidR="00B66248" w:rsidRPr="00B66248" w:rsidRDefault="00B66248" w:rsidP="00453280">
      <w:pPr>
        <w:pStyle w:val="Listaszerbekezds"/>
        <w:ind w:left="1800"/>
        <w:jc w:val="both"/>
        <w:rPr>
          <w:rFonts w:cs="Arial"/>
          <w:b/>
          <w:i/>
          <w:iCs/>
        </w:rPr>
      </w:pPr>
    </w:p>
    <w:p w:rsidR="00B66248" w:rsidRPr="00453280" w:rsidRDefault="00B66248" w:rsidP="00453280">
      <w:pPr>
        <w:pStyle w:val="Listaszerbekezds"/>
        <w:numPr>
          <w:ilvl w:val="1"/>
          <w:numId w:val="10"/>
        </w:numPr>
        <w:jc w:val="both"/>
        <w:rPr>
          <w:rFonts w:cs="Arial"/>
          <w:b/>
          <w:i/>
          <w:iCs/>
        </w:rPr>
      </w:pPr>
      <w:r>
        <w:rPr>
          <w:rFonts w:cs="Arial"/>
          <w:i/>
          <w:iCs/>
        </w:rPr>
        <w:t>A</w:t>
      </w:r>
      <w:r w:rsidRPr="00453280">
        <w:rPr>
          <w:rFonts w:cs="Arial"/>
          <w:i/>
          <w:iCs/>
        </w:rPr>
        <w:t>z új felhasználó a közszolgáltatási szerződés/előszerződés megkötésének időpontjában külön szövegezett nyilatkozata alapján Tszt. 3. § w) pontja szerinti</w:t>
      </w:r>
      <w:r w:rsidRPr="00453280">
        <w:rPr>
          <w:rFonts w:cs="Arial"/>
          <w:b/>
          <w:i/>
          <w:iCs/>
        </w:rPr>
        <w:t xml:space="preserve"> </w:t>
      </w:r>
      <w:r w:rsidRPr="00453280">
        <w:rPr>
          <w:rFonts w:cs="Arial"/>
          <w:i/>
          <w:iCs/>
        </w:rPr>
        <w:t>külön kezelt intézménynek minősül</w:t>
      </w:r>
      <w:r>
        <w:rPr>
          <w:rFonts w:cs="Arial"/>
          <w:i/>
          <w:iCs/>
        </w:rPr>
        <w:t>.</w:t>
      </w:r>
    </w:p>
    <w:p w:rsidR="00B66248" w:rsidRPr="00A26A7A" w:rsidRDefault="00B66248" w:rsidP="00B66248">
      <w:pPr>
        <w:jc w:val="both"/>
        <w:rPr>
          <w:rFonts w:cs="Arial"/>
          <w:b/>
          <w:i/>
          <w:iCs/>
        </w:rPr>
      </w:pPr>
    </w:p>
    <w:p w:rsidR="00B66248" w:rsidRPr="00453280" w:rsidRDefault="00B66248" w:rsidP="00453280">
      <w:pPr>
        <w:pStyle w:val="Listaszerbekezds"/>
        <w:numPr>
          <w:ilvl w:val="1"/>
          <w:numId w:val="10"/>
        </w:numPr>
        <w:jc w:val="both"/>
        <w:rPr>
          <w:rFonts w:cs="Arial"/>
          <w:i/>
          <w:iCs/>
        </w:rPr>
      </w:pPr>
      <w:r>
        <w:rPr>
          <w:rFonts w:cs="Arial"/>
          <w:i/>
          <w:iCs/>
        </w:rPr>
        <w:t>A</w:t>
      </w:r>
      <w:r w:rsidRPr="00453280">
        <w:rPr>
          <w:rFonts w:cs="Arial"/>
          <w:i/>
          <w:iCs/>
        </w:rPr>
        <w:t xml:space="preserve"> közszolgáltatási szerződés tárgya hőközponti hőmennyiségmérés szerinti, lekötött hőteljesítmény alapú távhőszolgáltatás</w:t>
      </w:r>
      <w:r>
        <w:rPr>
          <w:rFonts w:cs="Arial"/>
          <w:i/>
          <w:iCs/>
        </w:rPr>
        <w:t>.</w:t>
      </w:r>
    </w:p>
    <w:p w:rsidR="00B66248" w:rsidRPr="00A26A7A" w:rsidRDefault="00B66248" w:rsidP="00B66248">
      <w:pPr>
        <w:jc w:val="both"/>
        <w:rPr>
          <w:rFonts w:cs="Arial"/>
          <w:i/>
          <w:iCs/>
        </w:rPr>
      </w:pPr>
    </w:p>
    <w:p w:rsidR="00B66248" w:rsidRDefault="00B66248" w:rsidP="00453280">
      <w:pPr>
        <w:pStyle w:val="Listaszerbekezds"/>
        <w:numPr>
          <w:ilvl w:val="1"/>
          <w:numId w:val="10"/>
        </w:numPr>
        <w:jc w:val="both"/>
        <w:rPr>
          <w:rFonts w:cs="Arial"/>
          <w:i/>
          <w:iCs/>
        </w:rPr>
      </w:pPr>
      <w:r>
        <w:rPr>
          <w:rFonts w:cs="Arial"/>
          <w:i/>
          <w:iCs/>
        </w:rPr>
        <w:t>A</w:t>
      </w:r>
      <w:r w:rsidRPr="00453280">
        <w:rPr>
          <w:rFonts w:cs="Arial"/>
          <w:i/>
          <w:iCs/>
        </w:rPr>
        <w:t xml:space="preserve"> távhőszolgáltatási díj kiegyenlítése felhasználó helyenként történik, nem épületrészenkénti díjszétosztás alapján</w:t>
      </w:r>
      <w:r w:rsidR="006C05A9">
        <w:rPr>
          <w:rFonts w:cs="Arial"/>
          <w:i/>
          <w:iCs/>
        </w:rPr>
        <w:t>.</w:t>
      </w:r>
    </w:p>
    <w:p w:rsidR="00894EC4" w:rsidRDefault="00894EC4" w:rsidP="00894EC4">
      <w:pPr>
        <w:pStyle w:val="Listaszerbekezds"/>
        <w:rPr>
          <w:rFonts w:cs="Arial"/>
          <w:i/>
          <w:iCs/>
        </w:rPr>
      </w:pPr>
    </w:p>
    <w:p w:rsidR="00894EC4" w:rsidRPr="00894EC4" w:rsidRDefault="00894EC4" w:rsidP="00894EC4">
      <w:pPr>
        <w:pStyle w:val="Listaszerbekezds"/>
        <w:rPr>
          <w:rFonts w:cs="Arial"/>
          <w:i/>
          <w:iCs/>
        </w:rPr>
      </w:pPr>
    </w:p>
    <w:p w:rsidR="00894EC4" w:rsidRPr="00453280" w:rsidRDefault="009660C6" w:rsidP="00453280">
      <w:pPr>
        <w:pStyle w:val="Listaszerbekezds"/>
        <w:numPr>
          <w:ilvl w:val="1"/>
          <w:numId w:val="10"/>
        </w:numPr>
        <w:jc w:val="both"/>
        <w:rPr>
          <w:rFonts w:cs="Arial"/>
          <w:i/>
          <w:iCs/>
        </w:rPr>
      </w:pPr>
      <w:r>
        <w:rPr>
          <w:rFonts w:cs="Arial"/>
          <w:i/>
          <w:iCs/>
        </w:rPr>
        <w:t>F</w:t>
      </w:r>
      <w:r w:rsidR="00894EC4">
        <w:rPr>
          <w:rFonts w:cs="Arial"/>
          <w:i/>
          <w:iCs/>
        </w:rPr>
        <w:t>elhasználónak nincs távhőszolgáltatási díj tartozása:</w:t>
      </w:r>
      <w:r>
        <w:rPr>
          <w:rFonts w:cs="Arial"/>
          <w:i/>
          <w:iCs/>
        </w:rPr>
        <w:t xml:space="preserve"> új </w:t>
      </w:r>
      <w:r w:rsidR="00894EC4">
        <w:rPr>
          <w:rFonts w:cs="Arial"/>
          <w:i/>
          <w:iCs/>
        </w:rPr>
        <w:t>felhasználónak vagy jogelődjének</w:t>
      </w:r>
      <w:r>
        <w:rPr>
          <w:rFonts w:cs="Arial"/>
          <w:i/>
          <w:iCs/>
        </w:rPr>
        <w:t xml:space="preserve"> ugyanazon felhasználó</w:t>
      </w:r>
      <w:r w:rsidR="00894EC4">
        <w:rPr>
          <w:rFonts w:cs="Arial"/>
          <w:i/>
          <w:iCs/>
        </w:rPr>
        <w:t xml:space="preserve"> más felhasználási hely</w:t>
      </w:r>
      <w:r>
        <w:rPr>
          <w:rFonts w:cs="Arial"/>
          <w:i/>
          <w:iCs/>
        </w:rPr>
        <w:t>e</w:t>
      </w:r>
      <w:r w:rsidR="00894EC4">
        <w:rPr>
          <w:rFonts w:cs="Arial"/>
          <w:i/>
          <w:iCs/>
        </w:rPr>
        <w:t>, illetve épületrész</w:t>
      </w:r>
      <w:r>
        <w:rPr>
          <w:rFonts w:cs="Arial"/>
          <w:i/>
          <w:iCs/>
        </w:rPr>
        <w:t>e</w:t>
      </w:r>
      <w:r w:rsidR="00894EC4">
        <w:rPr>
          <w:rFonts w:cs="Arial"/>
          <w:i/>
          <w:iCs/>
        </w:rPr>
        <w:t xml:space="preserve"> vonatkozásában nincs 30 (harminc) napon túli számlatartozása a FŐTÁV Zrt. és hátralékkezelő cége felé a közszolgáltatási szerződés előszerződés/szerződés megkötésének időpontjában.</w:t>
      </w:r>
    </w:p>
    <w:p w:rsidR="00B66248" w:rsidRPr="00A26A7A" w:rsidRDefault="00B66248" w:rsidP="00B66248">
      <w:pPr>
        <w:jc w:val="both"/>
        <w:rPr>
          <w:rFonts w:cs="Arial"/>
          <w:i/>
          <w:iCs/>
        </w:rPr>
      </w:pPr>
    </w:p>
    <w:p w:rsidR="00B66248" w:rsidRPr="00453280" w:rsidRDefault="006C05A9" w:rsidP="00453280">
      <w:pPr>
        <w:pStyle w:val="Listaszerbekezds"/>
        <w:numPr>
          <w:ilvl w:val="1"/>
          <w:numId w:val="10"/>
        </w:numPr>
        <w:jc w:val="both"/>
        <w:rPr>
          <w:rFonts w:cs="Arial"/>
          <w:i/>
          <w:iCs/>
        </w:rPr>
      </w:pPr>
      <w:r w:rsidRPr="00453280">
        <w:rPr>
          <w:rFonts w:cs="Arial"/>
          <w:i/>
          <w:iCs/>
        </w:rPr>
        <w:t>A</w:t>
      </w:r>
      <w:r w:rsidR="00B66248" w:rsidRPr="00453280">
        <w:rPr>
          <w:rFonts w:cs="Arial"/>
          <w:i/>
          <w:iCs/>
        </w:rPr>
        <w:t xml:space="preserve">z </w:t>
      </w:r>
      <w:r>
        <w:rPr>
          <w:rFonts w:cs="Arial"/>
          <w:i/>
          <w:iCs/>
        </w:rPr>
        <w:t xml:space="preserve">új felhasználó vállalja az </w:t>
      </w:r>
      <w:r w:rsidR="00B66248" w:rsidRPr="00453280">
        <w:rPr>
          <w:rFonts w:cs="Arial"/>
          <w:i/>
          <w:iCs/>
        </w:rPr>
        <w:t>alapdíj</w:t>
      </w:r>
      <w:r>
        <w:rPr>
          <w:rFonts w:cs="Arial"/>
          <w:i/>
          <w:iCs/>
        </w:rPr>
        <w:t>-</w:t>
      </w:r>
      <w:r w:rsidR="00B66248" w:rsidRPr="00453280">
        <w:rPr>
          <w:rFonts w:cs="Arial"/>
          <w:i/>
          <w:iCs/>
        </w:rPr>
        <w:t>kedvezmény elvesztésé</w:t>
      </w:r>
      <w:r>
        <w:rPr>
          <w:rFonts w:cs="Arial"/>
          <w:i/>
          <w:iCs/>
        </w:rPr>
        <w:t>t</w:t>
      </w:r>
      <w:r w:rsidR="00B66248" w:rsidRPr="00453280">
        <w:rPr>
          <w:rFonts w:cs="Arial"/>
          <w:i/>
          <w:iCs/>
        </w:rPr>
        <w:t xml:space="preserve"> </w:t>
      </w:r>
      <w:r>
        <w:rPr>
          <w:rFonts w:cs="Arial"/>
          <w:i/>
          <w:iCs/>
        </w:rPr>
        <w:t xml:space="preserve">a </w:t>
      </w:r>
      <w:r w:rsidR="00B66248" w:rsidRPr="00453280">
        <w:rPr>
          <w:rFonts w:cs="Arial"/>
          <w:i/>
          <w:iCs/>
        </w:rPr>
        <w:t>közszolgáltatási szerződésben az alábbiak szerint: amennyiben a felhasználó vagy az adott Felhasználási hely tekintetében a Tszt. 3. § b) pontja szerinti díjfizető (a továbbiakban: díjfizető) a távhőszolgáltatási díj számlán megjelölt fizetési határnap (esedékesség) tekintetében 30 (harminc) napot meghaladó késedelembe esik, majd a Távhőszolgáltató írásbeli felszólítása ellenére 30 (harminc) napon belül sem tesz eleget fizetési kötelezettségének, úgy az alapdíj kedvezmény a fentiek szerinti fizetési határidő leteltét követő 12 (tizenkettő) hónapra, vagy amennyiben a közszolgáltatási szerződés hatálya ennél rövidebb időszak, akkor ezen időtartamra megszűnik. Amennyiben a felhasználó vagy a díjfizető a közszolgáltatási szerződés hatálya alatt ismételten, a fentiek szerint késedelembe esik, úgy fentiek szerinti felszólításban meghatározott fizetési határidő leteltét követő hónap első napjával a közszolgáltatási szerződésben meghatározott alapdíj kedvezmény véglegesen megszűnik</w:t>
      </w:r>
      <w:r>
        <w:rPr>
          <w:rFonts w:cs="Arial"/>
          <w:i/>
          <w:iCs/>
        </w:rPr>
        <w:t>.</w:t>
      </w:r>
    </w:p>
    <w:p w:rsidR="00B66248" w:rsidRPr="00A26A7A" w:rsidRDefault="00B66248" w:rsidP="00B66248">
      <w:pPr>
        <w:jc w:val="both"/>
        <w:rPr>
          <w:rFonts w:cs="Arial"/>
          <w:i/>
          <w:iCs/>
        </w:rPr>
      </w:pPr>
    </w:p>
    <w:p w:rsidR="00B66248" w:rsidRPr="00453280" w:rsidRDefault="006C05A9" w:rsidP="00453280">
      <w:pPr>
        <w:pStyle w:val="Listaszerbekezds"/>
        <w:numPr>
          <w:ilvl w:val="1"/>
          <w:numId w:val="10"/>
        </w:numPr>
        <w:jc w:val="both"/>
        <w:rPr>
          <w:rFonts w:cs="Arial"/>
          <w:i/>
          <w:iCs/>
        </w:rPr>
      </w:pPr>
      <w:r>
        <w:rPr>
          <w:rFonts w:cs="Arial"/>
          <w:i/>
          <w:iCs/>
        </w:rPr>
        <w:lastRenderedPageBreak/>
        <w:t>Az új</w:t>
      </w:r>
      <w:r w:rsidR="00B66248" w:rsidRPr="00453280">
        <w:rPr>
          <w:rFonts w:cs="Arial"/>
          <w:i/>
          <w:iCs/>
        </w:rPr>
        <w:t xml:space="preserve"> felhasználó meghiúsulási kötbér</w:t>
      </w:r>
      <w:r>
        <w:rPr>
          <w:rFonts w:cs="Arial"/>
          <w:i/>
          <w:iCs/>
        </w:rPr>
        <w:t>-</w:t>
      </w:r>
      <w:r w:rsidR="00B66248" w:rsidRPr="00453280">
        <w:rPr>
          <w:rFonts w:cs="Arial"/>
          <w:i/>
          <w:iCs/>
        </w:rPr>
        <w:t>fizetési kötelezettség</w:t>
      </w:r>
      <w:r>
        <w:rPr>
          <w:rFonts w:cs="Arial"/>
          <w:i/>
          <w:iCs/>
        </w:rPr>
        <w:t>et</w:t>
      </w:r>
      <w:r w:rsidR="00B66248" w:rsidRPr="00453280">
        <w:rPr>
          <w:rFonts w:cs="Arial"/>
          <w:i/>
          <w:iCs/>
        </w:rPr>
        <w:t xml:space="preserve"> vállal a közszolgáltatási szerződésben arra az esetre, amennyiben a felhasználó a közszolgáltatási szerződést felmondja, vagy a létrejött közszolgáltatási szerződéses jogviszony a felhasználó vagy a díjfizető érdekkörében felmerülő bármely okból megszűnik</w:t>
      </w:r>
      <w:r>
        <w:rPr>
          <w:rFonts w:cs="Arial"/>
          <w:i/>
          <w:iCs/>
        </w:rPr>
        <w:t>,</w:t>
      </w:r>
      <w:r w:rsidR="00B66248" w:rsidRPr="00453280">
        <w:rPr>
          <w:rFonts w:cs="Arial"/>
          <w:i/>
          <w:iCs/>
        </w:rPr>
        <w:t xml:space="preserve"> vagy megszüntetésre kerül. Mértéke: a Távhőszolgáltatót terhelő teljes beruházási költség (távhőszolgáltatási vezeték tervezése, vezetékjog alapítása, beszerési/közbeszerzési költségek, vezeték kivitelezése, hőközponti szerelvények, hőközpont tervezése, létesítése, elbontása) összege, valamint a már nyújtott alapdíj kedvezmény</w:t>
      </w:r>
      <w:r>
        <w:rPr>
          <w:rFonts w:cs="Arial"/>
          <w:i/>
          <w:iCs/>
        </w:rPr>
        <w:t>,</w:t>
      </w:r>
      <w:r w:rsidR="00B66248" w:rsidRPr="00453280">
        <w:rPr>
          <w:rFonts w:cs="Arial"/>
          <w:i/>
          <w:iCs/>
        </w:rPr>
        <w:t xml:space="preserve"> továbbá a szerződés felmondásának időpontja és a közszolgáltatási szerződés lejárta közötti időszakra kiszámított, kedvezmény nélküli alapdíj 30%-a.</w:t>
      </w:r>
    </w:p>
    <w:p w:rsidR="00B66248" w:rsidRPr="00A26A7A" w:rsidRDefault="00B66248" w:rsidP="00B66248">
      <w:pPr>
        <w:jc w:val="both"/>
        <w:rPr>
          <w:rFonts w:cs="Arial"/>
          <w:b/>
          <w:i/>
          <w:iCs/>
        </w:rPr>
      </w:pPr>
    </w:p>
    <w:p w:rsidR="00B66248" w:rsidRDefault="00B66248" w:rsidP="00453280">
      <w:pPr>
        <w:pStyle w:val="Listaszerbekezds"/>
        <w:numPr>
          <w:ilvl w:val="0"/>
          <w:numId w:val="10"/>
        </w:numPr>
        <w:jc w:val="both"/>
        <w:rPr>
          <w:rFonts w:cs="Arial"/>
          <w:i/>
          <w:iCs/>
          <w:u w:val="single"/>
        </w:rPr>
      </w:pPr>
      <w:r w:rsidRPr="00453280">
        <w:rPr>
          <w:rFonts w:cs="Arial"/>
          <w:i/>
          <w:iCs/>
          <w:u w:val="single"/>
        </w:rPr>
        <w:t>Alapdíj kedvezmény mértéke:</w:t>
      </w:r>
    </w:p>
    <w:p w:rsidR="006C05A9" w:rsidRPr="00453280" w:rsidRDefault="006C05A9" w:rsidP="00453280">
      <w:pPr>
        <w:pStyle w:val="Listaszerbekezds"/>
        <w:jc w:val="both"/>
        <w:rPr>
          <w:rFonts w:cs="Arial"/>
          <w:i/>
          <w:iCs/>
          <w:u w:val="single"/>
        </w:rPr>
      </w:pPr>
    </w:p>
    <w:p w:rsidR="00B66248" w:rsidRPr="00453280" w:rsidRDefault="00B66248" w:rsidP="00453280">
      <w:pPr>
        <w:pStyle w:val="Listaszerbekezds"/>
        <w:numPr>
          <w:ilvl w:val="1"/>
          <w:numId w:val="10"/>
        </w:numPr>
        <w:jc w:val="both"/>
        <w:rPr>
          <w:rFonts w:cs="Arial"/>
          <w:i/>
          <w:iCs/>
          <w:u w:val="single"/>
        </w:rPr>
      </w:pPr>
      <w:r w:rsidRPr="00453280">
        <w:rPr>
          <w:rFonts w:cs="Arial"/>
          <w:i/>
          <w:iCs/>
          <w:u w:val="single"/>
        </w:rPr>
        <w:t>Abban az esetben</w:t>
      </w:r>
      <w:r w:rsidR="006C05A9" w:rsidRPr="00453280">
        <w:rPr>
          <w:rFonts w:cs="Arial"/>
          <w:i/>
          <w:iCs/>
          <w:u w:val="single"/>
        </w:rPr>
        <w:t>,</w:t>
      </w:r>
      <w:r w:rsidRPr="00453280">
        <w:rPr>
          <w:rFonts w:cs="Arial"/>
          <w:i/>
          <w:iCs/>
          <w:u w:val="single"/>
        </w:rPr>
        <w:t xml:space="preserve"> ha a távhőszolgáltatás igénybevételéhez szükséges beruházás költségét teljes mértékben az </w:t>
      </w:r>
      <w:r w:rsidR="006C05A9" w:rsidRPr="00453280">
        <w:rPr>
          <w:rFonts w:cs="Arial"/>
          <w:i/>
          <w:iCs/>
          <w:u w:val="single"/>
        </w:rPr>
        <w:t>ú</w:t>
      </w:r>
      <w:r w:rsidRPr="00453280">
        <w:rPr>
          <w:rFonts w:cs="Arial"/>
          <w:i/>
          <w:iCs/>
          <w:u w:val="single"/>
        </w:rPr>
        <w:t>j felhasználó viseli</w:t>
      </w:r>
    </w:p>
    <w:p w:rsidR="00B66248" w:rsidRPr="00453280" w:rsidRDefault="00B66248" w:rsidP="00453280">
      <w:pPr>
        <w:pStyle w:val="Listaszerbekezds"/>
        <w:numPr>
          <w:ilvl w:val="2"/>
          <w:numId w:val="10"/>
        </w:numPr>
        <w:jc w:val="both"/>
        <w:rPr>
          <w:rFonts w:cs="Arial"/>
          <w:i/>
          <w:iCs/>
        </w:rPr>
      </w:pPr>
      <w:r w:rsidRPr="00453280">
        <w:rPr>
          <w:rFonts w:cs="Arial"/>
          <w:i/>
          <w:iCs/>
        </w:rPr>
        <w:t>hőátalakítás nélküli alapdíj, általános forgalmi adót visszaigénylő felhasználók esetén</w:t>
      </w:r>
      <w:r w:rsidR="00464A02">
        <w:rPr>
          <w:rFonts w:cs="Arial"/>
          <w:i/>
          <w:iCs/>
        </w:rPr>
        <w:t>:</w:t>
      </w:r>
    </w:p>
    <w:p w:rsidR="00B66248" w:rsidRPr="00A26A7A" w:rsidRDefault="00B66248" w:rsidP="00B66248">
      <w:pPr>
        <w:jc w:val="both"/>
        <w:rPr>
          <w:rFonts w:cs="Arial"/>
          <w:i/>
          <w:iCs/>
          <w:u w:val="single"/>
        </w:rPr>
      </w:pPr>
    </w:p>
    <w:tbl>
      <w:tblPr>
        <w:tblStyle w:val="Rcsostblzat"/>
        <w:tblW w:w="6993" w:type="dxa"/>
        <w:jc w:val="center"/>
        <w:tblLook w:val="04A0" w:firstRow="1" w:lastRow="0" w:firstColumn="1" w:lastColumn="0" w:noHBand="0" w:noVBand="1"/>
      </w:tblPr>
      <w:tblGrid>
        <w:gridCol w:w="544"/>
        <w:gridCol w:w="2085"/>
        <w:gridCol w:w="2228"/>
        <w:gridCol w:w="2136"/>
      </w:tblGrid>
      <w:tr w:rsidR="006C05A9" w:rsidRPr="00A26A7A" w:rsidTr="00453280">
        <w:trPr>
          <w:jc w:val="center"/>
        </w:trPr>
        <w:tc>
          <w:tcPr>
            <w:tcW w:w="544" w:type="dxa"/>
          </w:tcPr>
          <w:p w:rsidR="006C05A9" w:rsidRPr="00A26A7A" w:rsidRDefault="006C05A9" w:rsidP="00B66248">
            <w:pPr>
              <w:jc w:val="both"/>
              <w:rPr>
                <w:rFonts w:cs="Arial"/>
                <w:i/>
                <w:iCs/>
              </w:rPr>
            </w:pP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Alapdíj kedvezmény</w:t>
            </w:r>
          </w:p>
          <w:p w:rsidR="006C05A9" w:rsidRPr="00A26A7A" w:rsidRDefault="006C05A9" w:rsidP="00B66248">
            <w:pPr>
              <w:spacing w:line="276" w:lineRule="auto"/>
              <w:jc w:val="both"/>
              <w:rPr>
                <w:rFonts w:cs="Arial"/>
                <w:i/>
                <w:iCs/>
              </w:rPr>
            </w:pPr>
            <w:r w:rsidRPr="00A26A7A">
              <w:rPr>
                <w:rFonts w:cs="Arial"/>
                <w:i/>
                <w:iCs/>
              </w:rPr>
              <w:t>mértéke</w:t>
            </w:r>
          </w:p>
        </w:tc>
        <w:tc>
          <w:tcPr>
            <w:tcW w:w="2228" w:type="dxa"/>
            <w:vAlign w:val="center"/>
          </w:tcPr>
          <w:p w:rsidR="006C05A9" w:rsidRPr="00A26A7A" w:rsidRDefault="006C05A9" w:rsidP="006C05A9">
            <w:pPr>
              <w:spacing w:line="276" w:lineRule="auto"/>
              <w:jc w:val="both"/>
              <w:rPr>
                <w:rFonts w:cs="Arial"/>
                <w:i/>
                <w:iCs/>
              </w:rPr>
            </w:pPr>
            <w:r w:rsidRPr="00A26A7A">
              <w:rPr>
                <w:rFonts w:cs="Arial"/>
                <w:i/>
                <w:iCs/>
              </w:rPr>
              <w:t>Lekötött hőteljesítmény</w:t>
            </w:r>
          </w:p>
        </w:tc>
        <w:tc>
          <w:tcPr>
            <w:tcW w:w="2136" w:type="dxa"/>
          </w:tcPr>
          <w:p w:rsidR="006C05A9" w:rsidRPr="00A26A7A" w:rsidRDefault="006C05A9" w:rsidP="00B66248">
            <w:pPr>
              <w:spacing w:line="276" w:lineRule="auto"/>
              <w:jc w:val="both"/>
              <w:rPr>
                <w:rFonts w:cs="Arial"/>
                <w:i/>
                <w:iCs/>
              </w:rPr>
            </w:pPr>
          </w:p>
          <w:p w:rsidR="006C05A9" w:rsidRPr="00A26A7A" w:rsidRDefault="006C05A9" w:rsidP="006C05A9">
            <w:pPr>
              <w:spacing w:line="276" w:lineRule="auto"/>
              <w:jc w:val="both"/>
              <w:rPr>
                <w:rFonts w:cs="Arial"/>
                <w:i/>
                <w:iCs/>
              </w:rPr>
            </w:pPr>
            <w:r w:rsidRPr="00A26A7A">
              <w:rPr>
                <w:rFonts w:cs="Arial"/>
                <w:i/>
                <w:iCs/>
              </w:rPr>
              <w:t>Min</w:t>
            </w:r>
            <w:r>
              <w:rPr>
                <w:rFonts w:cs="Arial"/>
                <w:i/>
                <w:iCs/>
              </w:rPr>
              <w:t>imális</w:t>
            </w:r>
            <w:r w:rsidRPr="00A26A7A">
              <w:rPr>
                <w:rFonts w:cs="Arial"/>
                <w:i/>
                <w:iCs/>
              </w:rPr>
              <w:t xml:space="preserve"> szerződéses futamidő</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1</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10%</w:t>
            </w:r>
          </w:p>
        </w:tc>
        <w:tc>
          <w:tcPr>
            <w:tcW w:w="2228" w:type="dxa"/>
            <w:vMerge w:val="restart"/>
            <w:vAlign w:val="center"/>
          </w:tcPr>
          <w:p w:rsidR="006C05A9" w:rsidRPr="00A26A7A" w:rsidRDefault="006C05A9" w:rsidP="00B66248">
            <w:pPr>
              <w:spacing w:line="276" w:lineRule="auto"/>
              <w:jc w:val="both"/>
              <w:rPr>
                <w:rFonts w:cs="Arial"/>
                <w:i/>
                <w:iCs/>
              </w:rPr>
            </w:pPr>
            <w:r w:rsidRPr="00A26A7A">
              <w:rPr>
                <w:rFonts w:cs="Arial"/>
                <w:i/>
                <w:iCs/>
              </w:rPr>
              <w:t>10 – 99 kW</w:t>
            </w:r>
          </w:p>
        </w:tc>
        <w:tc>
          <w:tcPr>
            <w:tcW w:w="2136" w:type="dxa"/>
          </w:tcPr>
          <w:p w:rsidR="006C05A9" w:rsidRPr="00A26A7A" w:rsidRDefault="006C05A9" w:rsidP="00B66248">
            <w:pPr>
              <w:spacing w:line="276" w:lineRule="auto"/>
              <w:jc w:val="both"/>
              <w:rPr>
                <w:rFonts w:cs="Arial"/>
                <w:i/>
                <w:iCs/>
              </w:rPr>
            </w:pPr>
            <w:r w:rsidRPr="00A26A7A">
              <w:rPr>
                <w:rFonts w:cs="Arial"/>
                <w:i/>
                <w:iCs/>
              </w:rPr>
              <w:t>5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2</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20%</w:t>
            </w:r>
          </w:p>
        </w:tc>
        <w:tc>
          <w:tcPr>
            <w:tcW w:w="2228" w:type="dxa"/>
            <w:vMerge/>
            <w:vAlign w:val="center"/>
          </w:tcPr>
          <w:p w:rsidR="006C05A9" w:rsidRPr="00A26A7A" w:rsidRDefault="006C05A9" w:rsidP="00B66248">
            <w:pPr>
              <w:spacing w:line="276" w:lineRule="auto"/>
              <w:jc w:val="both"/>
              <w:rPr>
                <w:rFonts w:cs="Arial"/>
                <w:i/>
                <w:iCs/>
              </w:rPr>
            </w:pPr>
          </w:p>
        </w:tc>
        <w:tc>
          <w:tcPr>
            <w:tcW w:w="2136" w:type="dxa"/>
          </w:tcPr>
          <w:p w:rsidR="006C05A9" w:rsidRPr="00A26A7A" w:rsidRDefault="006C05A9" w:rsidP="00B66248">
            <w:pPr>
              <w:spacing w:line="276" w:lineRule="auto"/>
              <w:jc w:val="both"/>
              <w:rPr>
                <w:rFonts w:cs="Arial"/>
                <w:i/>
                <w:iCs/>
              </w:rPr>
            </w:pPr>
            <w:r w:rsidRPr="00A26A7A">
              <w:rPr>
                <w:rFonts w:cs="Arial"/>
                <w:i/>
                <w:iCs/>
              </w:rPr>
              <w:t>10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3</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20%</w:t>
            </w:r>
          </w:p>
        </w:tc>
        <w:tc>
          <w:tcPr>
            <w:tcW w:w="2228" w:type="dxa"/>
            <w:vMerge w:val="restart"/>
            <w:vAlign w:val="center"/>
          </w:tcPr>
          <w:p w:rsidR="006C05A9" w:rsidRPr="00A26A7A" w:rsidRDefault="006C05A9" w:rsidP="00B66248">
            <w:pPr>
              <w:spacing w:line="276" w:lineRule="auto"/>
              <w:jc w:val="both"/>
              <w:rPr>
                <w:rFonts w:cs="Arial"/>
                <w:i/>
                <w:iCs/>
              </w:rPr>
            </w:pPr>
            <w:r w:rsidRPr="00A26A7A">
              <w:rPr>
                <w:rFonts w:cs="Arial"/>
                <w:i/>
                <w:iCs/>
              </w:rPr>
              <w:t>100 – 249 kW</w:t>
            </w:r>
          </w:p>
        </w:tc>
        <w:tc>
          <w:tcPr>
            <w:tcW w:w="2136" w:type="dxa"/>
          </w:tcPr>
          <w:p w:rsidR="006C05A9" w:rsidRPr="00A26A7A" w:rsidRDefault="006C05A9" w:rsidP="00B66248">
            <w:pPr>
              <w:spacing w:line="276" w:lineRule="auto"/>
              <w:jc w:val="both"/>
              <w:rPr>
                <w:rFonts w:cs="Arial"/>
                <w:i/>
                <w:iCs/>
              </w:rPr>
            </w:pPr>
            <w:r w:rsidRPr="00A26A7A">
              <w:rPr>
                <w:rFonts w:cs="Arial"/>
                <w:i/>
                <w:iCs/>
              </w:rPr>
              <w:t>5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4</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30%</w:t>
            </w:r>
          </w:p>
        </w:tc>
        <w:tc>
          <w:tcPr>
            <w:tcW w:w="2228" w:type="dxa"/>
            <w:vMerge/>
            <w:vAlign w:val="center"/>
          </w:tcPr>
          <w:p w:rsidR="006C05A9" w:rsidRPr="00A26A7A" w:rsidRDefault="006C05A9" w:rsidP="00B66248">
            <w:pPr>
              <w:spacing w:line="276" w:lineRule="auto"/>
              <w:jc w:val="both"/>
              <w:rPr>
                <w:rFonts w:cs="Arial"/>
                <w:i/>
                <w:iCs/>
              </w:rPr>
            </w:pPr>
          </w:p>
        </w:tc>
        <w:tc>
          <w:tcPr>
            <w:tcW w:w="2136" w:type="dxa"/>
          </w:tcPr>
          <w:p w:rsidR="006C05A9" w:rsidRPr="00A26A7A" w:rsidRDefault="006C05A9" w:rsidP="00B66248">
            <w:pPr>
              <w:spacing w:line="276" w:lineRule="auto"/>
              <w:jc w:val="both"/>
              <w:rPr>
                <w:rFonts w:cs="Arial"/>
                <w:i/>
                <w:iCs/>
              </w:rPr>
            </w:pPr>
            <w:r w:rsidRPr="00A26A7A">
              <w:rPr>
                <w:rFonts w:cs="Arial"/>
                <w:i/>
                <w:iCs/>
              </w:rPr>
              <w:t>10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5</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30%</w:t>
            </w:r>
          </w:p>
        </w:tc>
        <w:tc>
          <w:tcPr>
            <w:tcW w:w="2228" w:type="dxa"/>
            <w:vMerge w:val="restart"/>
            <w:vAlign w:val="center"/>
          </w:tcPr>
          <w:p w:rsidR="006C05A9" w:rsidRPr="00A26A7A" w:rsidRDefault="006C05A9" w:rsidP="00B66248">
            <w:pPr>
              <w:spacing w:line="276" w:lineRule="auto"/>
              <w:jc w:val="both"/>
              <w:rPr>
                <w:rFonts w:cs="Arial"/>
                <w:i/>
                <w:iCs/>
              </w:rPr>
            </w:pPr>
            <w:r w:rsidRPr="00A26A7A">
              <w:rPr>
                <w:rFonts w:cs="Arial"/>
                <w:i/>
                <w:iCs/>
              </w:rPr>
              <w:t>250 – 499 kW</w:t>
            </w:r>
          </w:p>
        </w:tc>
        <w:tc>
          <w:tcPr>
            <w:tcW w:w="2136" w:type="dxa"/>
          </w:tcPr>
          <w:p w:rsidR="006C05A9" w:rsidRPr="00A26A7A" w:rsidRDefault="006C05A9" w:rsidP="00B66248">
            <w:pPr>
              <w:spacing w:line="276" w:lineRule="auto"/>
              <w:jc w:val="both"/>
              <w:rPr>
                <w:rFonts w:cs="Arial"/>
                <w:i/>
                <w:iCs/>
              </w:rPr>
            </w:pPr>
            <w:r w:rsidRPr="00A26A7A">
              <w:rPr>
                <w:rFonts w:cs="Arial"/>
                <w:i/>
                <w:iCs/>
              </w:rPr>
              <w:t>5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6</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40%</w:t>
            </w:r>
          </w:p>
        </w:tc>
        <w:tc>
          <w:tcPr>
            <w:tcW w:w="2228" w:type="dxa"/>
            <w:vMerge/>
            <w:vAlign w:val="center"/>
          </w:tcPr>
          <w:p w:rsidR="006C05A9" w:rsidRPr="00A26A7A" w:rsidRDefault="006C05A9" w:rsidP="00B66248">
            <w:pPr>
              <w:spacing w:line="276" w:lineRule="auto"/>
              <w:jc w:val="both"/>
              <w:rPr>
                <w:rFonts w:cs="Arial"/>
                <w:i/>
                <w:iCs/>
              </w:rPr>
            </w:pPr>
          </w:p>
        </w:tc>
        <w:tc>
          <w:tcPr>
            <w:tcW w:w="2136" w:type="dxa"/>
          </w:tcPr>
          <w:p w:rsidR="006C05A9" w:rsidRPr="00A26A7A" w:rsidRDefault="006C05A9" w:rsidP="00B66248">
            <w:pPr>
              <w:spacing w:line="276" w:lineRule="auto"/>
              <w:jc w:val="both"/>
              <w:rPr>
                <w:rFonts w:cs="Arial"/>
                <w:i/>
                <w:iCs/>
              </w:rPr>
            </w:pPr>
            <w:r w:rsidRPr="00A26A7A">
              <w:rPr>
                <w:rFonts w:cs="Arial"/>
                <w:i/>
                <w:iCs/>
              </w:rPr>
              <w:t>10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7</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40%</w:t>
            </w:r>
          </w:p>
        </w:tc>
        <w:tc>
          <w:tcPr>
            <w:tcW w:w="2228" w:type="dxa"/>
            <w:vMerge w:val="restart"/>
            <w:vAlign w:val="center"/>
          </w:tcPr>
          <w:p w:rsidR="006C05A9" w:rsidRPr="00A26A7A" w:rsidRDefault="006C05A9" w:rsidP="00B66248">
            <w:pPr>
              <w:spacing w:line="276" w:lineRule="auto"/>
              <w:jc w:val="both"/>
              <w:rPr>
                <w:rFonts w:cs="Arial"/>
                <w:i/>
                <w:iCs/>
              </w:rPr>
            </w:pPr>
            <w:r w:rsidRPr="00A26A7A">
              <w:rPr>
                <w:rFonts w:cs="Arial"/>
                <w:i/>
                <w:iCs/>
              </w:rPr>
              <w:t>500 – 749 kW</w:t>
            </w:r>
          </w:p>
        </w:tc>
        <w:tc>
          <w:tcPr>
            <w:tcW w:w="2136" w:type="dxa"/>
          </w:tcPr>
          <w:p w:rsidR="006C05A9" w:rsidRPr="00A26A7A" w:rsidRDefault="006C05A9" w:rsidP="00B66248">
            <w:pPr>
              <w:spacing w:line="276" w:lineRule="auto"/>
              <w:jc w:val="both"/>
              <w:rPr>
                <w:rFonts w:cs="Arial"/>
                <w:i/>
                <w:iCs/>
              </w:rPr>
            </w:pPr>
            <w:r w:rsidRPr="00A26A7A">
              <w:rPr>
                <w:rFonts w:cs="Arial"/>
                <w:i/>
                <w:iCs/>
              </w:rPr>
              <w:t>5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8</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50%</w:t>
            </w:r>
          </w:p>
        </w:tc>
        <w:tc>
          <w:tcPr>
            <w:tcW w:w="2228" w:type="dxa"/>
            <w:vMerge/>
            <w:vAlign w:val="center"/>
          </w:tcPr>
          <w:p w:rsidR="006C05A9" w:rsidRPr="00A26A7A" w:rsidRDefault="006C05A9" w:rsidP="00B66248">
            <w:pPr>
              <w:spacing w:line="276" w:lineRule="auto"/>
              <w:jc w:val="both"/>
              <w:rPr>
                <w:rFonts w:cs="Arial"/>
                <w:i/>
                <w:iCs/>
              </w:rPr>
            </w:pPr>
          </w:p>
        </w:tc>
        <w:tc>
          <w:tcPr>
            <w:tcW w:w="2136" w:type="dxa"/>
          </w:tcPr>
          <w:p w:rsidR="006C05A9" w:rsidRPr="00A26A7A" w:rsidRDefault="006C05A9" w:rsidP="00B66248">
            <w:pPr>
              <w:spacing w:line="276" w:lineRule="auto"/>
              <w:jc w:val="both"/>
              <w:rPr>
                <w:rFonts w:cs="Arial"/>
                <w:i/>
                <w:iCs/>
              </w:rPr>
            </w:pPr>
            <w:r w:rsidRPr="00A26A7A">
              <w:rPr>
                <w:rFonts w:cs="Arial"/>
                <w:i/>
                <w:iCs/>
              </w:rPr>
              <w:t>10 év</w:t>
            </w:r>
          </w:p>
        </w:tc>
      </w:tr>
      <w:tr w:rsidR="006C05A9" w:rsidRPr="00A26A7A" w:rsidTr="00453280">
        <w:trPr>
          <w:jc w:val="center"/>
        </w:trPr>
        <w:tc>
          <w:tcPr>
            <w:tcW w:w="544" w:type="dxa"/>
          </w:tcPr>
          <w:p w:rsidR="006C05A9" w:rsidRPr="00A26A7A" w:rsidRDefault="00C17862" w:rsidP="00B66248">
            <w:pPr>
              <w:jc w:val="both"/>
              <w:rPr>
                <w:rFonts w:cs="Arial"/>
                <w:i/>
                <w:iCs/>
              </w:rPr>
            </w:pPr>
            <w:r>
              <w:rPr>
                <w:rFonts w:cs="Arial"/>
                <w:i/>
                <w:iCs/>
              </w:rPr>
              <w:t>9</w:t>
            </w:r>
            <w:r w:rsidR="006C05A9">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50%</w:t>
            </w:r>
          </w:p>
        </w:tc>
        <w:tc>
          <w:tcPr>
            <w:tcW w:w="2228" w:type="dxa"/>
            <w:vMerge w:val="restart"/>
            <w:vAlign w:val="center"/>
          </w:tcPr>
          <w:p w:rsidR="006C05A9" w:rsidRPr="00A26A7A" w:rsidRDefault="006C05A9" w:rsidP="00B66248">
            <w:pPr>
              <w:spacing w:line="276" w:lineRule="auto"/>
              <w:jc w:val="both"/>
              <w:rPr>
                <w:rFonts w:cs="Arial"/>
                <w:i/>
                <w:iCs/>
              </w:rPr>
            </w:pPr>
            <w:r w:rsidRPr="00A26A7A">
              <w:rPr>
                <w:rFonts w:cs="Arial"/>
                <w:i/>
                <w:iCs/>
              </w:rPr>
              <w:t>750 – 999 kW</w:t>
            </w:r>
          </w:p>
        </w:tc>
        <w:tc>
          <w:tcPr>
            <w:tcW w:w="2136" w:type="dxa"/>
          </w:tcPr>
          <w:p w:rsidR="006C05A9" w:rsidRPr="00A26A7A" w:rsidRDefault="006C05A9" w:rsidP="00B66248">
            <w:pPr>
              <w:spacing w:line="276" w:lineRule="auto"/>
              <w:jc w:val="both"/>
              <w:rPr>
                <w:rFonts w:cs="Arial"/>
                <w:i/>
                <w:iCs/>
              </w:rPr>
            </w:pPr>
            <w:r w:rsidRPr="00A26A7A">
              <w:rPr>
                <w:rFonts w:cs="Arial"/>
                <w:i/>
                <w:iCs/>
              </w:rPr>
              <w:t>5 év</w:t>
            </w:r>
          </w:p>
        </w:tc>
      </w:tr>
      <w:tr w:rsidR="006C05A9" w:rsidRPr="00A26A7A" w:rsidTr="00453280">
        <w:trPr>
          <w:jc w:val="center"/>
        </w:trPr>
        <w:tc>
          <w:tcPr>
            <w:tcW w:w="544" w:type="dxa"/>
          </w:tcPr>
          <w:p w:rsidR="006C05A9" w:rsidRPr="00A26A7A" w:rsidRDefault="006C05A9" w:rsidP="00C17862">
            <w:pPr>
              <w:jc w:val="both"/>
              <w:rPr>
                <w:rFonts w:cs="Arial"/>
                <w:i/>
                <w:iCs/>
              </w:rPr>
            </w:pPr>
            <w:r>
              <w:rPr>
                <w:rFonts w:cs="Arial"/>
                <w:i/>
                <w:iCs/>
              </w:rPr>
              <w:t>1</w:t>
            </w:r>
            <w:r w:rsidR="00C17862">
              <w:rPr>
                <w:rFonts w:cs="Arial"/>
                <w:i/>
                <w:iCs/>
              </w:rPr>
              <w:t>0</w:t>
            </w:r>
            <w:r>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60%</w:t>
            </w:r>
          </w:p>
        </w:tc>
        <w:tc>
          <w:tcPr>
            <w:tcW w:w="2228" w:type="dxa"/>
            <w:vMerge/>
            <w:vAlign w:val="center"/>
          </w:tcPr>
          <w:p w:rsidR="006C05A9" w:rsidRPr="00A26A7A" w:rsidRDefault="006C05A9" w:rsidP="00B66248">
            <w:pPr>
              <w:spacing w:line="276" w:lineRule="auto"/>
              <w:jc w:val="both"/>
              <w:rPr>
                <w:rFonts w:cs="Arial"/>
                <w:i/>
                <w:iCs/>
              </w:rPr>
            </w:pPr>
          </w:p>
        </w:tc>
        <w:tc>
          <w:tcPr>
            <w:tcW w:w="2136" w:type="dxa"/>
          </w:tcPr>
          <w:p w:rsidR="006C05A9" w:rsidRPr="00A26A7A" w:rsidRDefault="006C05A9" w:rsidP="00B66248">
            <w:pPr>
              <w:spacing w:line="276" w:lineRule="auto"/>
              <w:jc w:val="both"/>
              <w:rPr>
                <w:rFonts w:cs="Arial"/>
                <w:i/>
                <w:iCs/>
              </w:rPr>
            </w:pPr>
            <w:r w:rsidRPr="00A26A7A">
              <w:rPr>
                <w:rFonts w:cs="Arial"/>
                <w:i/>
                <w:iCs/>
              </w:rPr>
              <w:t>10 év</w:t>
            </w:r>
          </w:p>
        </w:tc>
      </w:tr>
      <w:tr w:rsidR="006C05A9" w:rsidRPr="00A26A7A" w:rsidTr="00453280">
        <w:trPr>
          <w:jc w:val="center"/>
        </w:trPr>
        <w:tc>
          <w:tcPr>
            <w:tcW w:w="544" w:type="dxa"/>
          </w:tcPr>
          <w:p w:rsidR="006C05A9" w:rsidRPr="00A26A7A" w:rsidRDefault="006C05A9" w:rsidP="00C17862">
            <w:pPr>
              <w:jc w:val="both"/>
              <w:rPr>
                <w:rFonts w:cs="Arial"/>
                <w:i/>
                <w:iCs/>
              </w:rPr>
            </w:pPr>
            <w:r>
              <w:rPr>
                <w:rFonts w:cs="Arial"/>
                <w:i/>
                <w:iCs/>
              </w:rPr>
              <w:t>1</w:t>
            </w:r>
            <w:r w:rsidR="00C17862">
              <w:rPr>
                <w:rFonts w:cs="Arial"/>
                <w:i/>
                <w:iCs/>
              </w:rPr>
              <w:t>1</w:t>
            </w:r>
            <w:r>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60%</w:t>
            </w:r>
          </w:p>
        </w:tc>
        <w:tc>
          <w:tcPr>
            <w:tcW w:w="2228" w:type="dxa"/>
            <w:vMerge w:val="restart"/>
            <w:vAlign w:val="center"/>
          </w:tcPr>
          <w:p w:rsidR="006C05A9" w:rsidRPr="00A26A7A" w:rsidRDefault="006C05A9" w:rsidP="00B66248">
            <w:pPr>
              <w:spacing w:line="276" w:lineRule="auto"/>
              <w:jc w:val="both"/>
              <w:rPr>
                <w:rFonts w:cs="Arial"/>
                <w:i/>
                <w:iCs/>
              </w:rPr>
            </w:pPr>
            <w:r w:rsidRPr="00A26A7A">
              <w:rPr>
                <w:rFonts w:cs="Arial"/>
                <w:i/>
                <w:iCs/>
              </w:rPr>
              <w:t>1000 kW –</w:t>
            </w:r>
          </w:p>
        </w:tc>
        <w:tc>
          <w:tcPr>
            <w:tcW w:w="2136" w:type="dxa"/>
          </w:tcPr>
          <w:p w:rsidR="006C05A9" w:rsidRPr="00A26A7A" w:rsidRDefault="006C05A9" w:rsidP="00B66248">
            <w:pPr>
              <w:spacing w:line="276" w:lineRule="auto"/>
              <w:jc w:val="both"/>
              <w:rPr>
                <w:rFonts w:cs="Arial"/>
                <w:i/>
                <w:iCs/>
              </w:rPr>
            </w:pPr>
            <w:r w:rsidRPr="00A26A7A">
              <w:rPr>
                <w:rFonts w:cs="Arial"/>
                <w:i/>
                <w:iCs/>
              </w:rPr>
              <w:t>5 év</w:t>
            </w:r>
          </w:p>
        </w:tc>
      </w:tr>
      <w:tr w:rsidR="006C05A9" w:rsidRPr="00A26A7A" w:rsidTr="00453280">
        <w:trPr>
          <w:jc w:val="center"/>
        </w:trPr>
        <w:tc>
          <w:tcPr>
            <w:tcW w:w="544" w:type="dxa"/>
          </w:tcPr>
          <w:p w:rsidR="006C05A9" w:rsidRPr="00A26A7A" w:rsidRDefault="006C05A9" w:rsidP="00C17862">
            <w:pPr>
              <w:jc w:val="both"/>
              <w:rPr>
                <w:rFonts w:cs="Arial"/>
                <w:i/>
                <w:iCs/>
              </w:rPr>
            </w:pPr>
            <w:r>
              <w:rPr>
                <w:rFonts w:cs="Arial"/>
                <w:i/>
                <w:iCs/>
              </w:rPr>
              <w:t>1</w:t>
            </w:r>
            <w:r w:rsidR="00C17862">
              <w:rPr>
                <w:rFonts w:cs="Arial"/>
                <w:i/>
                <w:iCs/>
              </w:rPr>
              <w:t>2</w:t>
            </w:r>
            <w:r>
              <w:rPr>
                <w:rFonts w:cs="Arial"/>
                <w:i/>
                <w:iCs/>
              </w:rPr>
              <w:t>.</w:t>
            </w:r>
          </w:p>
        </w:tc>
        <w:tc>
          <w:tcPr>
            <w:tcW w:w="2085" w:type="dxa"/>
            <w:vAlign w:val="center"/>
          </w:tcPr>
          <w:p w:rsidR="006C05A9" w:rsidRPr="00A26A7A" w:rsidRDefault="006C05A9" w:rsidP="00B66248">
            <w:pPr>
              <w:spacing w:line="276" w:lineRule="auto"/>
              <w:jc w:val="both"/>
              <w:rPr>
                <w:rFonts w:cs="Arial"/>
                <w:i/>
                <w:iCs/>
              </w:rPr>
            </w:pPr>
            <w:r w:rsidRPr="00A26A7A">
              <w:rPr>
                <w:rFonts w:cs="Arial"/>
                <w:i/>
                <w:iCs/>
              </w:rPr>
              <w:t>70%</w:t>
            </w:r>
          </w:p>
        </w:tc>
        <w:tc>
          <w:tcPr>
            <w:tcW w:w="2228" w:type="dxa"/>
            <w:vMerge/>
            <w:vAlign w:val="center"/>
          </w:tcPr>
          <w:p w:rsidR="006C05A9" w:rsidRPr="00A26A7A" w:rsidRDefault="006C05A9" w:rsidP="00B66248">
            <w:pPr>
              <w:spacing w:line="276" w:lineRule="auto"/>
              <w:jc w:val="both"/>
              <w:rPr>
                <w:rFonts w:cs="Arial"/>
                <w:i/>
                <w:iCs/>
              </w:rPr>
            </w:pPr>
          </w:p>
        </w:tc>
        <w:tc>
          <w:tcPr>
            <w:tcW w:w="2136" w:type="dxa"/>
          </w:tcPr>
          <w:p w:rsidR="006C05A9" w:rsidRPr="00A26A7A" w:rsidRDefault="006C05A9" w:rsidP="00B66248">
            <w:pPr>
              <w:spacing w:line="276" w:lineRule="auto"/>
              <w:jc w:val="both"/>
              <w:rPr>
                <w:rFonts w:cs="Arial"/>
                <w:i/>
                <w:iCs/>
              </w:rPr>
            </w:pPr>
            <w:r w:rsidRPr="00A26A7A">
              <w:rPr>
                <w:rFonts w:cs="Arial"/>
                <w:i/>
                <w:iCs/>
              </w:rPr>
              <w:t>10 év</w:t>
            </w:r>
          </w:p>
        </w:tc>
      </w:tr>
    </w:tbl>
    <w:p w:rsidR="00B66248" w:rsidRPr="00A26A7A" w:rsidRDefault="00B66248" w:rsidP="00B66248">
      <w:pPr>
        <w:jc w:val="both"/>
        <w:rPr>
          <w:rFonts w:cs="Arial"/>
          <w:i/>
          <w:iCs/>
        </w:rPr>
      </w:pPr>
    </w:p>
    <w:p w:rsidR="00B66248" w:rsidRPr="00453280" w:rsidRDefault="00B66248" w:rsidP="00453280">
      <w:pPr>
        <w:pStyle w:val="Listaszerbekezds"/>
        <w:numPr>
          <w:ilvl w:val="2"/>
          <w:numId w:val="10"/>
        </w:numPr>
        <w:jc w:val="both"/>
        <w:rPr>
          <w:rFonts w:cs="Arial"/>
          <w:i/>
          <w:iCs/>
        </w:rPr>
      </w:pPr>
      <w:r w:rsidRPr="00453280">
        <w:rPr>
          <w:rFonts w:cs="Arial"/>
          <w:i/>
          <w:iCs/>
        </w:rPr>
        <w:t>hőátalakításos alapdíj, általános forgalmi adót visszaigénylő felhasználók esetén</w:t>
      </w:r>
      <w:r w:rsidR="00464A02">
        <w:rPr>
          <w:rFonts w:cs="Arial"/>
          <w:i/>
          <w:iCs/>
        </w:rPr>
        <w:t>:</w:t>
      </w:r>
    </w:p>
    <w:p w:rsidR="00B66248" w:rsidRPr="00A26A7A" w:rsidRDefault="00B66248" w:rsidP="00B66248">
      <w:pPr>
        <w:jc w:val="both"/>
        <w:rPr>
          <w:rFonts w:cs="Arial"/>
          <w:i/>
          <w:iCs/>
          <w:u w:val="single"/>
        </w:rPr>
      </w:pPr>
    </w:p>
    <w:tbl>
      <w:tblPr>
        <w:tblStyle w:val="Rcsostblzat"/>
        <w:tblW w:w="7023" w:type="dxa"/>
        <w:jc w:val="center"/>
        <w:tblLook w:val="04A0" w:firstRow="1" w:lastRow="0" w:firstColumn="1" w:lastColumn="0" w:noHBand="0" w:noVBand="1"/>
      </w:tblPr>
      <w:tblGrid>
        <w:gridCol w:w="495"/>
        <w:gridCol w:w="1576"/>
        <w:gridCol w:w="2490"/>
        <w:gridCol w:w="2462"/>
      </w:tblGrid>
      <w:tr w:rsidR="0050783B" w:rsidRPr="00A26A7A" w:rsidTr="00FF389D">
        <w:trPr>
          <w:jc w:val="center"/>
        </w:trPr>
        <w:tc>
          <w:tcPr>
            <w:tcW w:w="495" w:type="dxa"/>
          </w:tcPr>
          <w:p w:rsidR="0050783B" w:rsidRPr="00A26A7A" w:rsidRDefault="0050783B" w:rsidP="00F95768">
            <w:pPr>
              <w:ind w:left="570"/>
              <w:jc w:val="both"/>
              <w:rPr>
                <w:rFonts w:cs="Arial"/>
                <w:i/>
                <w:iCs/>
              </w:rPr>
            </w:pP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Alapdíj kedvezmény</w:t>
            </w:r>
          </w:p>
          <w:p w:rsidR="0050783B" w:rsidRPr="00A26A7A" w:rsidRDefault="0050783B" w:rsidP="00B66248">
            <w:pPr>
              <w:spacing w:line="276" w:lineRule="auto"/>
              <w:jc w:val="both"/>
              <w:rPr>
                <w:rFonts w:cs="Arial"/>
                <w:i/>
                <w:iCs/>
              </w:rPr>
            </w:pPr>
            <w:r w:rsidRPr="00A26A7A">
              <w:rPr>
                <w:rFonts w:cs="Arial"/>
                <w:i/>
                <w:iCs/>
              </w:rPr>
              <w:lastRenderedPageBreak/>
              <w:t>mértéke</w:t>
            </w:r>
          </w:p>
        </w:tc>
        <w:tc>
          <w:tcPr>
            <w:tcW w:w="2490" w:type="dxa"/>
            <w:vAlign w:val="center"/>
          </w:tcPr>
          <w:p w:rsidR="0050783B" w:rsidRPr="00A26A7A" w:rsidRDefault="0050783B" w:rsidP="00B66248">
            <w:pPr>
              <w:spacing w:line="276" w:lineRule="auto"/>
              <w:jc w:val="both"/>
              <w:rPr>
                <w:rFonts w:cs="Arial"/>
                <w:i/>
                <w:iCs/>
              </w:rPr>
            </w:pPr>
            <w:r w:rsidRPr="00A26A7A">
              <w:rPr>
                <w:rFonts w:cs="Arial"/>
                <w:i/>
                <w:iCs/>
              </w:rPr>
              <w:lastRenderedPageBreak/>
              <w:t>Lekötött hőteljesítmény</w:t>
            </w:r>
          </w:p>
        </w:tc>
        <w:tc>
          <w:tcPr>
            <w:tcW w:w="2462" w:type="dxa"/>
          </w:tcPr>
          <w:p w:rsidR="0050783B" w:rsidRPr="00A26A7A" w:rsidRDefault="0050783B" w:rsidP="00B66248">
            <w:pPr>
              <w:spacing w:line="276" w:lineRule="auto"/>
              <w:jc w:val="both"/>
              <w:rPr>
                <w:rFonts w:cs="Arial"/>
                <w:i/>
                <w:iCs/>
              </w:rPr>
            </w:pPr>
          </w:p>
          <w:p w:rsidR="0050783B" w:rsidRPr="00A26A7A" w:rsidRDefault="0050783B" w:rsidP="00B66248">
            <w:pPr>
              <w:spacing w:line="276" w:lineRule="auto"/>
              <w:jc w:val="both"/>
              <w:rPr>
                <w:rFonts w:cs="Arial"/>
                <w:i/>
                <w:iCs/>
              </w:rPr>
            </w:pPr>
            <w:r w:rsidRPr="00A26A7A">
              <w:rPr>
                <w:rFonts w:cs="Arial"/>
                <w:i/>
                <w:iCs/>
              </w:rPr>
              <w:t xml:space="preserve">Min. szerződéses </w:t>
            </w:r>
            <w:r w:rsidRPr="00A26A7A">
              <w:rPr>
                <w:rFonts w:cs="Arial"/>
                <w:i/>
                <w:iCs/>
              </w:rPr>
              <w:lastRenderedPageBreak/>
              <w:t>futamidő</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lastRenderedPageBreak/>
              <w:t>1</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15%</w:t>
            </w:r>
          </w:p>
        </w:tc>
        <w:tc>
          <w:tcPr>
            <w:tcW w:w="2490" w:type="dxa"/>
            <w:vMerge w:val="restart"/>
            <w:vAlign w:val="center"/>
          </w:tcPr>
          <w:p w:rsidR="0050783B" w:rsidRPr="00A26A7A" w:rsidRDefault="0050783B" w:rsidP="00B66248">
            <w:pPr>
              <w:spacing w:line="276" w:lineRule="auto"/>
              <w:jc w:val="both"/>
              <w:rPr>
                <w:rFonts w:cs="Arial"/>
                <w:i/>
                <w:iCs/>
              </w:rPr>
            </w:pPr>
            <w:r w:rsidRPr="00A26A7A">
              <w:rPr>
                <w:rFonts w:cs="Arial"/>
                <w:i/>
                <w:iCs/>
              </w:rPr>
              <w:t>20 – 99 kW</w:t>
            </w:r>
          </w:p>
        </w:tc>
        <w:tc>
          <w:tcPr>
            <w:tcW w:w="2462"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2</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25%</w:t>
            </w:r>
          </w:p>
        </w:tc>
        <w:tc>
          <w:tcPr>
            <w:tcW w:w="2490" w:type="dxa"/>
            <w:vMerge/>
            <w:vAlign w:val="center"/>
          </w:tcPr>
          <w:p w:rsidR="0050783B" w:rsidRPr="00A26A7A" w:rsidRDefault="0050783B" w:rsidP="00B66248">
            <w:pPr>
              <w:spacing w:line="276" w:lineRule="auto"/>
              <w:jc w:val="both"/>
              <w:rPr>
                <w:rFonts w:cs="Arial"/>
                <w:i/>
                <w:iCs/>
              </w:rPr>
            </w:pPr>
          </w:p>
        </w:tc>
        <w:tc>
          <w:tcPr>
            <w:tcW w:w="2462"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3</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25%</w:t>
            </w:r>
          </w:p>
        </w:tc>
        <w:tc>
          <w:tcPr>
            <w:tcW w:w="2490" w:type="dxa"/>
            <w:vMerge w:val="restart"/>
            <w:vAlign w:val="center"/>
          </w:tcPr>
          <w:p w:rsidR="0050783B" w:rsidRPr="00A26A7A" w:rsidRDefault="0050783B" w:rsidP="00B66248">
            <w:pPr>
              <w:spacing w:line="276" w:lineRule="auto"/>
              <w:jc w:val="both"/>
              <w:rPr>
                <w:rFonts w:cs="Arial"/>
                <w:i/>
                <w:iCs/>
              </w:rPr>
            </w:pPr>
            <w:r w:rsidRPr="00A26A7A">
              <w:rPr>
                <w:rFonts w:cs="Arial"/>
                <w:i/>
                <w:iCs/>
              </w:rPr>
              <w:t>100 – 249 kW</w:t>
            </w:r>
          </w:p>
        </w:tc>
        <w:tc>
          <w:tcPr>
            <w:tcW w:w="2462"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4</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35%</w:t>
            </w:r>
          </w:p>
        </w:tc>
        <w:tc>
          <w:tcPr>
            <w:tcW w:w="2490" w:type="dxa"/>
            <w:vMerge/>
            <w:vAlign w:val="center"/>
          </w:tcPr>
          <w:p w:rsidR="0050783B" w:rsidRPr="00A26A7A" w:rsidRDefault="0050783B" w:rsidP="00B66248">
            <w:pPr>
              <w:spacing w:line="276" w:lineRule="auto"/>
              <w:jc w:val="both"/>
              <w:rPr>
                <w:rFonts w:cs="Arial"/>
                <w:i/>
                <w:iCs/>
              </w:rPr>
            </w:pPr>
          </w:p>
        </w:tc>
        <w:tc>
          <w:tcPr>
            <w:tcW w:w="2462"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5</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35%</w:t>
            </w:r>
          </w:p>
        </w:tc>
        <w:tc>
          <w:tcPr>
            <w:tcW w:w="2490" w:type="dxa"/>
            <w:vMerge w:val="restart"/>
            <w:vAlign w:val="center"/>
          </w:tcPr>
          <w:p w:rsidR="0050783B" w:rsidRPr="00A26A7A" w:rsidRDefault="0050783B" w:rsidP="00B66248">
            <w:pPr>
              <w:spacing w:line="276" w:lineRule="auto"/>
              <w:jc w:val="both"/>
              <w:rPr>
                <w:rFonts w:cs="Arial"/>
                <w:i/>
                <w:iCs/>
              </w:rPr>
            </w:pPr>
            <w:r w:rsidRPr="00A26A7A">
              <w:rPr>
                <w:rFonts w:cs="Arial"/>
                <w:i/>
                <w:iCs/>
              </w:rPr>
              <w:t>250 – 499 kW</w:t>
            </w:r>
          </w:p>
        </w:tc>
        <w:tc>
          <w:tcPr>
            <w:tcW w:w="2462"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6</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45%</w:t>
            </w:r>
          </w:p>
        </w:tc>
        <w:tc>
          <w:tcPr>
            <w:tcW w:w="2490" w:type="dxa"/>
            <w:vMerge/>
            <w:vAlign w:val="center"/>
          </w:tcPr>
          <w:p w:rsidR="0050783B" w:rsidRPr="00A26A7A" w:rsidRDefault="0050783B" w:rsidP="00B66248">
            <w:pPr>
              <w:spacing w:line="276" w:lineRule="auto"/>
              <w:jc w:val="both"/>
              <w:rPr>
                <w:rFonts w:cs="Arial"/>
                <w:i/>
                <w:iCs/>
              </w:rPr>
            </w:pPr>
          </w:p>
        </w:tc>
        <w:tc>
          <w:tcPr>
            <w:tcW w:w="2462"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7</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45%</w:t>
            </w:r>
          </w:p>
        </w:tc>
        <w:tc>
          <w:tcPr>
            <w:tcW w:w="2490" w:type="dxa"/>
            <w:vMerge w:val="restart"/>
            <w:vAlign w:val="center"/>
          </w:tcPr>
          <w:p w:rsidR="0050783B" w:rsidRPr="00A26A7A" w:rsidRDefault="0050783B" w:rsidP="00B66248">
            <w:pPr>
              <w:spacing w:line="276" w:lineRule="auto"/>
              <w:jc w:val="both"/>
              <w:rPr>
                <w:rFonts w:cs="Arial"/>
                <w:i/>
                <w:iCs/>
              </w:rPr>
            </w:pPr>
            <w:r w:rsidRPr="00A26A7A">
              <w:rPr>
                <w:rFonts w:cs="Arial"/>
                <w:i/>
                <w:iCs/>
              </w:rPr>
              <w:t>500 – 749 kW</w:t>
            </w:r>
          </w:p>
        </w:tc>
        <w:tc>
          <w:tcPr>
            <w:tcW w:w="2462"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8</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55%</w:t>
            </w:r>
          </w:p>
        </w:tc>
        <w:tc>
          <w:tcPr>
            <w:tcW w:w="2490" w:type="dxa"/>
            <w:vMerge/>
            <w:vAlign w:val="center"/>
          </w:tcPr>
          <w:p w:rsidR="0050783B" w:rsidRPr="00A26A7A" w:rsidRDefault="0050783B" w:rsidP="00B66248">
            <w:pPr>
              <w:spacing w:line="276" w:lineRule="auto"/>
              <w:jc w:val="both"/>
              <w:rPr>
                <w:rFonts w:cs="Arial"/>
                <w:i/>
                <w:iCs/>
              </w:rPr>
            </w:pPr>
          </w:p>
        </w:tc>
        <w:tc>
          <w:tcPr>
            <w:tcW w:w="2462"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9</w:t>
            </w:r>
            <w:r w:rsidR="006F32DE">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55%</w:t>
            </w:r>
          </w:p>
        </w:tc>
        <w:tc>
          <w:tcPr>
            <w:tcW w:w="2490" w:type="dxa"/>
            <w:vMerge w:val="restart"/>
            <w:vAlign w:val="center"/>
          </w:tcPr>
          <w:p w:rsidR="0050783B" w:rsidRPr="00A26A7A" w:rsidRDefault="0050783B" w:rsidP="00B66248">
            <w:pPr>
              <w:spacing w:line="276" w:lineRule="auto"/>
              <w:jc w:val="both"/>
              <w:rPr>
                <w:rFonts w:cs="Arial"/>
                <w:i/>
                <w:iCs/>
              </w:rPr>
            </w:pPr>
            <w:r w:rsidRPr="00A26A7A">
              <w:rPr>
                <w:rFonts w:cs="Arial"/>
                <w:i/>
                <w:iCs/>
              </w:rPr>
              <w:t>750 – 999 kW</w:t>
            </w:r>
          </w:p>
        </w:tc>
        <w:tc>
          <w:tcPr>
            <w:tcW w:w="2462"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6F32DE" w:rsidP="00FF389D">
            <w:pPr>
              <w:jc w:val="both"/>
              <w:rPr>
                <w:rFonts w:cs="Arial"/>
                <w:i/>
                <w:iCs/>
              </w:rPr>
            </w:pPr>
            <w:r>
              <w:rPr>
                <w:rFonts w:cs="Arial"/>
                <w:i/>
                <w:iCs/>
              </w:rPr>
              <w:t>1</w:t>
            </w:r>
            <w:r w:rsidR="00FF389D">
              <w:rPr>
                <w:rFonts w:cs="Arial"/>
                <w:i/>
                <w:iCs/>
              </w:rPr>
              <w:t>0</w:t>
            </w:r>
            <w:r>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65%</w:t>
            </w:r>
          </w:p>
        </w:tc>
        <w:tc>
          <w:tcPr>
            <w:tcW w:w="2490" w:type="dxa"/>
            <w:vMerge/>
            <w:vAlign w:val="center"/>
          </w:tcPr>
          <w:p w:rsidR="0050783B" w:rsidRPr="00A26A7A" w:rsidRDefault="0050783B" w:rsidP="00B66248">
            <w:pPr>
              <w:spacing w:line="276" w:lineRule="auto"/>
              <w:jc w:val="both"/>
              <w:rPr>
                <w:rFonts w:cs="Arial"/>
                <w:i/>
                <w:iCs/>
              </w:rPr>
            </w:pPr>
          </w:p>
        </w:tc>
        <w:tc>
          <w:tcPr>
            <w:tcW w:w="2462"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6F32DE" w:rsidP="00FF389D">
            <w:pPr>
              <w:jc w:val="both"/>
              <w:rPr>
                <w:rFonts w:cs="Arial"/>
                <w:i/>
                <w:iCs/>
              </w:rPr>
            </w:pPr>
            <w:r>
              <w:rPr>
                <w:rFonts w:cs="Arial"/>
                <w:i/>
                <w:iCs/>
              </w:rPr>
              <w:t>1</w:t>
            </w:r>
            <w:r w:rsidR="00FF389D">
              <w:rPr>
                <w:rFonts w:cs="Arial"/>
                <w:i/>
                <w:iCs/>
              </w:rPr>
              <w:t>1</w:t>
            </w:r>
            <w:r>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65%</w:t>
            </w:r>
          </w:p>
        </w:tc>
        <w:tc>
          <w:tcPr>
            <w:tcW w:w="2490" w:type="dxa"/>
            <w:vMerge w:val="restart"/>
            <w:vAlign w:val="center"/>
          </w:tcPr>
          <w:p w:rsidR="0050783B" w:rsidRPr="00A26A7A" w:rsidRDefault="0050783B" w:rsidP="00B66248">
            <w:pPr>
              <w:spacing w:line="276" w:lineRule="auto"/>
              <w:jc w:val="both"/>
              <w:rPr>
                <w:rFonts w:cs="Arial"/>
                <w:i/>
                <w:iCs/>
              </w:rPr>
            </w:pPr>
            <w:r w:rsidRPr="00A26A7A">
              <w:rPr>
                <w:rFonts w:cs="Arial"/>
                <w:i/>
                <w:iCs/>
              </w:rPr>
              <w:t>1000 kW –</w:t>
            </w:r>
          </w:p>
        </w:tc>
        <w:tc>
          <w:tcPr>
            <w:tcW w:w="2462"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6F32DE" w:rsidP="00FF389D">
            <w:pPr>
              <w:jc w:val="both"/>
              <w:rPr>
                <w:rFonts w:cs="Arial"/>
                <w:i/>
                <w:iCs/>
              </w:rPr>
            </w:pPr>
            <w:r>
              <w:rPr>
                <w:rFonts w:cs="Arial"/>
                <w:i/>
                <w:iCs/>
              </w:rPr>
              <w:t>1</w:t>
            </w:r>
            <w:r w:rsidR="00FF389D">
              <w:rPr>
                <w:rFonts w:cs="Arial"/>
                <w:i/>
                <w:iCs/>
              </w:rPr>
              <w:t>2</w:t>
            </w:r>
            <w:r>
              <w:rPr>
                <w:rFonts w:cs="Arial"/>
                <w:i/>
                <w:iCs/>
              </w:rPr>
              <w:t>.</w:t>
            </w:r>
          </w:p>
        </w:tc>
        <w:tc>
          <w:tcPr>
            <w:tcW w:w="1576" w:type="dxa"/>
            <w:vAlign w:val="center"/>
          </w:tcPr>
          <w:p w:rsidR="0050783B" w:rsidRPr="00A26A7A" w:rsidRDefault="0050783B" w:rsidP="00B66248">
            <w:pPr>
              <w:spacing w:line="276" w:lineRule="auto"/>
              <w:jc w:val="both"/>
              <w:rPr>
                <w:rFonts w:cs="Arial"/>
                <w:i/>
                <w:iCs/>
              </w:rPr>
            </w:pPr>
            <w:r w:rsidRPr="00A26A7A">
              <w:rPr>
                <w:rFonts w:cs="Arial"/>
                <w:i/>
                <w:iCs/>
              </w:rPr>
              <w:t>75%</w:t>
            </w:r>
          </w:p>
        </w:tc>
        <w:tc>
          <w:tcPr>
            <w:tcW w:w="2490" w:type="dxa"/>
            <w:vMerge/>
            <w:vAlign w:val="center"/>
          </w:tcPr>
          <w:p w:rsidR="0050783B" w:rsidRPr="00A26A7A" w:rsidRDefault="0050783B" w:rsidP="00B66248">
            <w:pPr>
              <w:spacing w:line="276" w:lineRule="auto"/>
              <w:jc w:val="both"/>
              <w:rPr>
                <w:rFonts w:cs="Arial"/>
                <w:i/>
                <w:iCs/>
              </w:rPr>
            </w:pPr>
          </w:p>
        </w:tc>
        <w:tc>
          <w:tcPr>
            <w:tcW w:w="2462" w:type="dxa"/>
          </w:tcPr>
          <w:p w:rsidR="0050783B" w:rsidRPr="00A26A7A" w:rsidRDefault="0050783B" w:rsidP="00B66248">
            <w:pPr>
              <w:spacing w:line="276" w:lineRule="auto"/>
              <w:jc w:val="both"/>
              <w:rPr>
                <w:rFonts w:cs="Arial"/>
                <w:i/>
                <w:iCs/>
              </w:rPr>
            </w:pPr>
            <w:r w:rsidRPr="00A26A7A">
              <w:rPr>
                <w:rFonts w:cs="Arial"/>
                <w:i/>
                <w:iCs/>
              </w:rPr>
              <w:t>10 év</w:t>
            </w:r>
          </w:p>
        </w:tc>
      </w:tr>
    </w:tbl>
    <w:p w:rsidR="00B66248" w:rsidRPr="00A26A7A" w:rsidRDefault="00B66248" w:rsidP="00B66248">
      <w:pPr>
        <w:jc w:val="both"/>
        <w:rPr>
          <w:rFonts w:cs="Arial"/>
          <w:i/>
          <w:iCs/>
          <w:u w:val="single"/>
        </w:rPr>
      </w:pPr>
    </w:p>
    <w:p w:rsidR="00B66248" w:rsidRPr="00A26A7A" w:rsidRDefault="00B66248" w:rsidP="00B66248">
      <w:pPr>
        <w:jc w:val="both"/>
        <w:rPr>
          <w:rFonts w:cs="Arial"/>
          <w:i/>
          <w:iCs/>
          <w:u w:val="single"/>
        </w:rPr>
      </w:pPr>
    </w:p>
    <w:p w:rsidR="00B66248" w:rsidRPr="00453280" w:rsidRDefault="00B66248" w:rsidP="00453280">
      <w:pPr>
        <w:pStyle w:val="Listaszerbekezds"/>
        <w:numPr>
          <w:ilvl w:val="2"/>
          <w:numId w:val="10"/>
        </w:numPr>
        <w:jc w:val="both"/>
        <w:rPr>
          <w:rFonts w:cs="Arial"/>
          <w:i/>
          <w:iCs/>
        </w:rPr>
      </w:pPr>
      <w:r w:rsidRPr="00453280">
        <w:rPr>
          <w:rFonts w:cs="Arial"/>
          <w:i/>
          <w:iCs/>
        </w:rPr>
        <w:t>hőátalakítás nélküli alapdíj, általános forgalmi adót vissza nem igénylő felhasználók esetén</w:t>
      </w:r>
      <w:r w:rsidR="00464A02">
        <w:rPr>
          <w:rFonts w:cs="Arial"/>
          <w:i/>
          <w:iCs/>
        </w:rPr>
        <w:t>:</w:t>
      </w:r>
    </w:p>
    <w:p w:rsidR="00B66248" w:rsidRPr="00A26A7A" w:rsidRDefault="00B66248" w:rsidP="00B66248">
      <w:pPr>
        <w:jc w:val="both"/>
        <w:rPr>
          <w:rFonts w:cs="Arial"/>
          <w:i/>
          <w:iCs/>
          <w:u w:val="single"/>
        </w:rPr>
      </w:pPr>
    </w:p>
    <w:tbl>
      <w:tblPr>
        <w:tblStyle w:val="Rcsostblzat"/>
        <w:tblW w:w="7106" w:type="dxa"/>
        <w:jc w:val="center"/>
        <w:tblLook w:val="04A0" w:firstRow="1" w:lastRow="0" w:firstColumn="1" w:lastColumn="0" w:noHBand="0" w:noVBand="1"/>
      </w:tblPr>
      <w:tblGrid>
        <w:gridCol w:w="495"/>
        <w:gridCol w:w="1585"/>
        <w:gridCol w:w="2523"/>
        <w:gridCol w:w="2503"/>
      </w:tblGrid>
      <w:tr w:rsidR="0050783B" w:rsidRPr="00A26A7A" w:rsidTr="00FF389D">
        <w:trPr>
          <w:jc w:val="center"/>
        </w:trPr>
        <w:tc>
          <w:tcPr>
            <w:tcW w:w="495" w:type="dxa"/>
          </w:tcPr>
          <w:p w:rsidR="0050783B" w:rsidRPr="00A26A7A" w:rsidRDefault="0050783B" w:rsidP="00B66248">
            <w:pPr>
              <w:jc w:val="both"/>
              <w:rPr>
                <w:rFonts w:cs="Arial"/>
                <w:i/>
                <w:iCs/>
              </w:rPr>
            </w:pP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Alapdíj kedvezmény</w:t>
            </w:r>
          </w:p>
          <w:p w:rsidR="0050783B" w:rsidRPr="00A26A7A" w:rsidRDefault="0050783B" w:rsidP="00B66248">
            <w:pPr>
              <w:spacing w:line="276" w:lineRule="auto"/>
              <w:jc w:val="both"/>
              <w:rPr>
                <w:rFonts w:cs="Arial"/>
                <w:i/>
                <w:iCs/>
              </w:rPr>
            </w:pPr>
            <w:r w:rsidRPr="00A26A7A">
              <w:rPr>
                <w:rFonts w:cs="Arial"/>
                <w:i/>
                <w:iCs/>
              </w:rPr>
              <w:t>mértéke</w:t>
            </w:r>
          </w:p>
        </w:tc>
        <w:tc>
          <w:tcPr>
            <w:tcW w:w="2523" w:type="dxa"/>
            <w:vAlign w:val="center"/>
          </w:tcPr>
          <w:p w:rsidR="0050783B" w:rsidRPr="00A26A7A" w:rsidRDefault="0050783B" w:rsidP="00B66248">
            <w:pPr>
              <w:spacing w:line="276" w:lineRule="auto"/>
              <w:jc w:val="both"/>
              <w:rPr>
                <w:rFonts w:cs="Arial"/>
                <w:i/>
                <w:iCs/>
              </w:rPr>
            </w:pPr>
            <w:r w:rsidRPr="00A26A7A">
              <w:rPr>
                <w:rFonts w:cs="Arial"/>
                <w:i/>
                <w:iCs/>
              </w:rPr>
              <w:t>Lekötött hőteljesítmény</w:t>
            </w:r>
          </w:p>
        </w:tc>
        <w:tc>
          <w:tcPr>
            <w:tcW w:w="2503" w:type="dxa"/>
          </w:tcPr>
          <w:p w:rsidR="0050783B" w:rsidRPr="00A26A7A" w:rsidRDefault="0050783B" w:rsidP="00B66248">
            <w:pPr>
              <w:spacing w:line="276" w:lineRule="auto"/>
              <w:jc w:val="both"/>
              <w:rPr>
                <w:rFonts w:cs="Arial"/>
                <w:i/>
                <w:iCs/>
              </w:rPr>
            </w:pPr>
          </w:p>
          <w:p w:rsidR="0050783B" w:rsidRPr="00A26A7A" w:rsidRDefault="0050783B" w:rsidP="00B66248">
            <w:pPr>
              <w:spacing w:line="276" w:lineRule="auto"/>
              <w:jc w:val="both"/>
              <w:rPr>
                <w:rFonts w:cs="Arial"/>
                <w:i/>
                <w:iCs/>
              </w:rPr>
            </w:pPr>
            <w:r w:rsidRPr="00A26A7A">
              <w:rPr>
                <w:rFonts w:cs="Arial"/>
                <w:i/>
                <w:iCs/>
              </w:rPr>
              <w:t>Min. szerződéses futamidő</w:t>
            </w:r>
          </w:p>
        </w:tc>
      </w:tr>
      <w:tr w:rsidR="0050783B" w:rsidRPr="00A26A7A" w:rsidTr="00FF389D">
        <w:trPr>
          <w:trHeight w:val="516"/>
          <w:jc w:val="center"/>
        </w:trPr>
        <w:tc>
          <w:tcPr>
            <w:tcW w:w="495" w:type="dxa"/>
          </w:tcPr>
          <w:p w:rsidR="0050783B" w:rsidRPr="00A26A7A" w:rsidRDefault="00FF389D" w:rsidP="00B66248">
            <w:pPr>
              <w:jc w:val="both"/>
              <w:rPr>
                <w:rFonts w:cs="Arial"/>
                <w:i/>
                <w:iCs/>
              </w:rPr>
            </w:pPr>
            <w:r>
              <w:rPr>
                <w:rFonts w:cs="Arial"/>
                <w:i/>
                <w:iCs/>
              </w:rPr>
              <w:t>1</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10%</w:t>
            </w:r>
          </w:p>
        </w:tc>
        <w:tc>
          <w:tcPr>
            <w:tcW w:w="2523" w:type="dxa"/>
            <w:vAlign w:val="center"/>
          </w:tcPr>
          <w:p w:rsidR="0050783B" w:rsidRPr="00A26A7A" w:rsidRDefault="0050783B" w:rsidP="00B66248">
            <w:pPr>
              <w:spacing w:line="276" w:lineRule="auto"/>
              <w:jc w:val="both"/>
              <w:rPr>
                <w:rFonts w:cs="Arial"/>
                <w:i/>
                <w:iCs/>
              </w:rPr>
            </w:pPr>
            <w:r w:rsidRPr="00A26A7A">
              <w:rPr>
                <w:rFonts w:cs="Arial"/>
                <w:i/>
                <w:iCs/>
              </w:rPr>
              <w:t>50 – 99 kW</w:t>
            </w:r>
          </w:p>
        </w:tc>
        <w:tc>
          <w:tcPr>
            <w:tcW w:w="2503" w:type="dxa"/>
          </w:tcPr>
          <w:p w:rsidR="0050783B" w:rsidRPr="00A26A7A" w:rsidRDefault="0050783B" w:rsidP="00B66248">
            <w:pPr>
              <w:spacing w:line="276" w:lineRule="auto"/>
              <w:jc w:val="both"/>
              <w:rPr>
                <w:rFonts w:cs="Arial"/>
                <w:i/>
                <w:iCs/>
              </w:rPr>
            </w:pPr>
          </w:p>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2</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10%</w:t>
            </w:r>
          </w:p>
        </w:tc>
        <w:tc>
          <w:tcPr>
            <w:tcW w:w="2523" w:type="dxa"/>
            <w:vMerge w:val="restart"/>
            <w:vAlign w:val="center"/>
          </w:tcPr>
          <w:p w:rsidR="0050783B" w:rsidRPr="00A26A7A" w:rsidRDefault="0050783B" w:rsidP="00B66248">
            <w:pPr>
              <w:spacing w:line="276" w:lineRule="auto"/>
              <w:jc w:val="both"/>
              <w:rPr>
                <w:rFonts w:cs="Arial"/>
                <w:i/>
                <w:iCs/>
              </w:rPr>
            </w:pPr>
            <w:r w:rsidRPr="00A26A7A">
              <w:rPr>
                <w:rFonts w:cs="Arial"/>
                <w:i/>
                <w:iCs/>
              </w:rPr>
              <w:t>100 – 249 kW</w:t>
            </w:r>
          </w:p>
        </w:tc>
        <w:tc>
          <w:tcPr>
            <w:tcW w:w="2503"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3</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20%</w:t>
            </w:r>
          </w:p>
        </w:tc>
        <w:tc>
          <w:tcPr>
            <w:tcW w:w="2523" w:type="dxa"/>
            <w:vMerge/>
            <w:vAlign w:val="center"/>
          </w:tcPr>
          <w:p w:rsidR="0050783B" w:rsidRPr="00A26A7A" w:rsidRDefault="0050783B" w:rsidP="00B66248">
            <w:pPr>
              <w:spacing w:line="276" w:lineRule="auto"/>
              <w:jc w:val="both"/>
              <w:rPr>
                <w:rFonts w:cs="Arial"/>
                <w:i/>
                <w:iCs/>
              </w:rPr>
            </w:pPr>
          </w:p>
        </w:tc>
        <w:tc>
          <w:tcPr>
            <w:tcW w:w="2503"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4</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20%</w:t>
            </w:r>
          </w:p>
        </w:tc>
        <w:tc>
          <w:tcPr>
            <w:tcW w:w="2523" w:type="dxa"/>
            <w:vMerge w:val="restart"/>
            <w:vAlign w:val="center"/>
          </w:tcPr>
          <w:p w:rsidR="0050783B" w:rsidRPr="00A26A7A" w:rsidRDefault="0050783B" w:rsidP="00B66248">
            <w:pPr>
              <w:spacing w:line="276" w:lineRule="auto"/>
              <w:jc w:val="both"/>
              <w:rPr>
                <w:rFonts w:cs="Arial"/>
                <w:i/>
                <w:iCs/>
              </w:rPr>
            </w:pPr>
            <w:r w:rsidRPr="00A26A7A">
              <w:rPr>
                <w:rFonts w:cs="Arial"/>
                <w:i/>
                <w:iCs/>
              </w:rPr>
              <w:t>250 – 499 kW</w:t>
            </w:r>
          </w:p>
        </w:tc>
        <w:tc>
          <w:tcPr>
            <w:tcW w:w="2503"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5</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30%</w:t>
            </w:r>
          </w:p>
        </w:tc>
        <w:tc>
          <w:tcPr>
            <w:tcW w:w="2523" w:type="dxa"/>
            <w:vMerge/>
            <w:vAlign w:val="center"/>
          </w:tcPr>
          <w:p w:rsidR="0050783B" w:rsidRPr="00A26A7A" w:rsidRDefault="0050783B" w:rsidP="00B66248">
            <w:pPr>
              <w:spacing w:line="276" w:lineRule="auto"/>
              <w:jc w:val="both"/>
              <w:rPr>
                <w:rFonts w:cs="Arial"/>
                <w:i/>
                <w:iCs/>
              </w:rPr>
            </w:pPr>
          </w:p>
        </w:tc>
        <w:tc>
          <w:tcPr>
            <w:tcW w:w="2503"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6</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30%</w:t>
            </w:r>
          </w:p>
        </w:tc>
        <w:tc>
          <w:tcPr>
            <w:tcW w:w="2523" w:type="dxa"/>
            <w:vMerge w:val="restart"/>
            <w:vAlign w:val="center"/>
          </w:tcPr>
          <w:p w:rsidR="0050783B" w:rsidRPr="00A26A7A" w:rsidRDefault="0050783B" w:rsidP="00B66248">
            <w:pPr>
              <w:spacing w:line="276" w:lineRule="auto"/>
              <w:jc w:val="both"/>
              <w:rPr>
                <w:rFonts w:cs="Arial"/>
                <w:i/>
                <w:iCs/>
              </w:rPr>
            </w:pPr>
            <w:r w:rsidRPr="00A26A7A">
              <w:rPr>
                <w:rFonts w:cs="Arial"/>
                <w:i/>
                <w:iCs/>
              </w:rPr>
              <w:t>500 – 749 kW</w:t>
            </w:r>
          </w:p>
        </w:tc>
        <w:tc>
          <w:tcPr>
            <w:tcW w:w="2503"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7</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40%</w:t>
            </w:r>
          </w:p>
        </w:tc>
        <w:tc>
          <w:tcPr>
            <w:tcW w:w="2523" w:type="dxa"/>
            <w:vMerge/>
            <w:vAlign w:val="center"/>
          </w:tcPr>
          <w:p w:rsidR="0050783B" w:rsidRPr="00A26A7A" w:rsidRDefault="0050783B" w:rsidP="00B66248">
            <w:pPr>
              <w:spacing w:line="276" w:lineRule="auto"/>
              <w:jc w:val="both"/>
              <w:rPr>
                <w:rFonts w:cs="Arial"/>
                <w:i/>
                <w:iCs/>
              </w:rPr>
            </w:pPr>
          </w:p>
        </w:tc>
        <w:tc>
          <w:tcPr>
            <w:tcW w:w="2503"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8</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40%</w:t>
            </w:r>
          </w:p>
        </w:tc>
        <w:tc>
          <w:tcPr>
            <w:tcW w:w="2523" w:type="dxa"/>
            <w:vMerge w:val="restart"/>
            <w:vAlign w:val="center"/>
          </w:tcPr>
          <w:p w:rsidR="0050783B" w:rsidRPr="00A26A7A" w:rsidRDefault="0050783B" w:rsidP="00B66248">
            <w:pPr>
              <w:spacing w:line="276" w:lineRule="auto"/>
              <w:jc w:val="both"/>
              <w:rPr>
                <w:rFonts w:cs="Arial"/>
                <w:i/>
                <w:iCs/>
              </w:rPr>
            </w:pPr>
            <w:r w:rsidRPr="00A26A7A">
              <w:rPr>
                <w:rFonts w:cs="Arial"/>
                <w:i/>
                <w:iCs/>
              </w:rPr>
              <w:t>750 – 999 kW</w:t>
            </w:r>
          </w:p>
        </w:tc>
        <w:tc>
          <w:tcPr>
            <w:tcW w:w="2503"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FF389D" w:rsidP="00B66248">
            <w:pPr>
              <w:jc w:val="both"/>
              <w:rPr>
                <w:rFonts w:cs="Arial"/>
                <w:i/>
                <w:iCs/>
              </w:rPr>
            </w:pPr>
            <w:r>
              <w:rPr>
                <w:rFonts w:cs="Arial"/>
                <w:i/>
                <w:iCs/>
              </w:rPr>
              <w:t>9</w:t>
            </w:r>
            <w:r w:rsidR="006F32DE">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50%</w:t>
            </w:r>
          </w:p>
        </w:tc>
        <w:tc>
          <w:tcPr>
            <w:tcW w:w="2523" w:type="dxa"/>
            <w:vMerge/>
            <w:vAlign w:val="center"/>
          </w:tcPr>
          <w:p w:rsidR="0050783B" w:rsidRPr="00A26A7A" w:rsidRDefault="0050783B" w:rsidP="00B66248">
            <w:pPr>
              <w:spacing w:line="276" w:lineRule="auto"/>
              <w:jc w:val="both"/>
              <w:rPr>
                <w:rFonts w:cs="Arial"/>
                <w:i/>
                <w:iCs/>
              </w:rPr>
            </w:pPr>
          </w:p>
        </w:tc>
        <w:tc>
          <w:tcPr>
            <w:tcW w:w="2503"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F389D">
        <w:trPr>
          <w:jc w:val="center"/>
        </w:trPr>
        <w:tc>
          <w:tcPr>
            <w:tcW w:w="495" w:type="dxa"/>
          </w:tcPr>
          <w:p w:rsidR="0050783B" w:rsidRPr="00A26A7A" w:rsidRDefault="006F32DE" w:rsidP="00FF389D">
            <w:pPr>
              <w:jc w:val="both"/>
              <w:rPr>
                <w:rFonts w:cs="Arial"/>
                <w:i/>
                <w:iCs/>
              </w:rPr>
            </w:pPr>
            <w:r>
              <w:rPr>
                <w:rFonts w:cs="Arial"/>
                <w:i/>
                <w:iCs/>
              </w:rPr>
              <w:t>1</w:t>
            </w:r>
            <w:r w:rsidR="00FF389D">
              <w:rPr>
                <w:rFonts w:cs="Arial"/>
                <w:i/>
                <w:iCs/>
              </w:rPr>
              <w:t>0</w:t>
            </w:r>
            <w:r>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50%</w:t>
            </w:r>
          </w:p>
        </w:tc>
        <w:tc>
          <w:tcPr>
            <w:tcW w:w="2523" w:type="dxa"/>
            <w:vMerge w:val="restart"/>
            <w:vAlign w:val="center"/>
          </w:tcPr>
          <w:p w:rsidR="0050783B" w:rsidRPr="00A26A7A" w:rsidRDefault="0050783B" w:rsidP="00B66248">
            <w:pPr>
              <w:spacing w:line="276" w:lineRule="auto"/>
              <w:jc w:val="both"/>
              <w:rPr>
                <w:rFonts w:cs="Arial"/>
                <w:i/>
                <w:iCs/>
              </w:rPr>
            </w:pPr>
            <w:r w:rsidRPr="00A26A7A">
              <w:rPr>
                <w:rFonts w:cs="Arial"/>
                <w:i/>
                <w:iCs/>
              </w:rPr>
              <w:t>1000 kW –</w:t>
            </w:r>
          </w:p>
        </w:tc>
        <w:tc>
          <w:tcPr>
            <w:tcW w:w="2503"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F389D">
        <w:trPr>
          <w:jc w:val="center"/>
        </w:trPr>
        <w:tc>
          <w:tcPr>
            <w:tcW w:w="495" w:type="dxa"/>
          </w:tcPr>
          <w:p w:rsidR="0050783B" w:rsidRPr="00A26A7A" w:rsidRDefault="006F32DE" w:rsidP="00FF389D">
            <w:pPr>
              <w:jc w:val="both"/>
              <w:rPr>
                <w:rFonts w:cs="Arial"/>
                <w:i/>
                <w:iCs/>
              </w:rPr>
            </w:pPr>
            <w:r>
              <w:rPr>
                <w:rFonts w:cs="Arial"/>
                <w:i/>
                <w:iCs/>
              </w:rPr>
              <w:t>1</w:t>
            </w:r>
            <w:r w:rsidR="00FF389D">
              <w:rPr>
                <w:rFonts w:cs="Arial"/>
                <w:i/>
                <w:iCs/>
              </w:rPr>
              <w:t>1</w:t>
            </w:r>
            <w:r>
              <w:rPr>
                <w:rFonts w:cs="Arial"/>
                <w:i/>
                <w:iCs/>
              </w:rPr>
              <w:t>.</w:t>
            </w:r>
          </w:p>
        </w:tc>
        <w:tc>
          <w:tcPr>
            <w:tcW w:w="1585" w:type="dxa"/>
            <w:vAlign w:val="center"/>
          </w:tcPr>
          <w:p w:rsidR="0050783B" w:rsidRPr="00A26A7A" w:rsidRDefault="0050783B" w:rsidP="00B66248">
            <w:pPr>
              <w:spacing w:line="276" w:lineRule="auto"/>
              <w:jc w:val="both"/>
              <w:rPr>
                <w:rFonts w:cs="Arial"/>
                <w:i/>
                <w:iCs/>
              </w:rPr>
            </w:pPr>
            <w:r w:rsidRPr="00A26A7A">
              <w:rPr>
                <w:rFonts w:cs="Arial"/>
                <w:i/>
                <w:iCs/>
              </w:rPr>
              <w:t>60%</w:t>
            </w:r>
          </w:p>
        </w:tc>
        <w:tc>
          <w:tcPr>
            <w:tcW w:w="2523" w:type="dxa"/>
            <w:vMerge/>
            <w:vAlign w:val="center"/>
          </w:tcPr>
          <w:p w:rsidR="0050783B" w:rsidRPr="00A26A7A" w:rsidRDefault="0050783B" w:rsidP="00B66248">
            <w:pPr>
              <w:spacing w:line="276" w:lineRule="auto"/>
              <w:jc w:val="both"/>
              <w:rPr>
                <w:rFonts w:cs="Arial"/>
                <w:i/>
                <w:iCs/>
              </w:rPr>
            </w:pPr>
          </w:p>
        </w:tc>
        <w:tc>
          <w:tcPr>
            <w:tcW w:w="2503" w:type="dxa"/>
          </w:tcPr>
          <w:p w:rsidR="0050783B" w:rsidRPr="00A26A7A" w:rsidRDefault="0050783B" w:rsidP="00B66248">
            <w:pPr>
              <w:spacing w:line="276" w:lineRule="auto"/>
              <w:jc w:val="both"/>
              <w:rPr>
                <w:rFonts w:cs="Arial"/>
                <w:i/>
                <w:iCs/>
              </w:rPr>
            </w:pPr>
            <w:r w:rsidRPr="00A26A7A">
              <w:rPr>
                <w:rFonts w:cs="Arial"/>
                <w:i/>
                <w:iCs/>
              </w:rPr>
              <w:t>10 év</w:t>
            </w:r>
          </w:p>
        </w:tc>
      </w:tr>
    </w:tbl>
    <w:p w:rsidR="00B66248" w:rsidRPr="00A26A7A" w:rsidRDefault="00B66248" w:rsidP="00B66248">
      <w:pPr>
        <w:jc w:val="both"/>
        <w:rPr>
          <w:rFonts w:cs="Arial"/>
          <w:i/>
          <w:iCs/>
          <w:u w:val="single"/>
        </w:rPr>
      </w:pPr>
    </w:p>
    <w:p w:rsidR="00B66248" w:rsidRPr="00453280" w:rsidRDefault="00B66248" w:rsidP="00453280">
      <w:pPr>
        <w:pStyle w:val="Listaszerbekezds"/>
        <w:numPr>
          <w:ilvl w:val="2"/>
          <w:numId w:val="10"/>
        </w:numPr>
        <w:jc w:val="both"/>
        <w:rPr>
          <w:rFonts w:cs="Arial"/>
          <w:i/>
          <w:iCs/>
        </w:rPr>
      </w:pPr>
      <w:r w:rsidRPr="00453280">
        <w:rPr>
          <w:rFonts w:cs="Arial"/>
          <w:i/>
          <w:iCs/>
        </w:rPr>
        <w:t>hőátalakításos alapdíj, általános forgalmi adót vissza nem igénylő felhasználók  esetén</w:t>
      </w:r>
      <w:r w:rsidR="00464A02">
        <w:rPr>
          <w:rFonts w:cs="Arial"/>
          <w:i/>
          <w:iCs/>
        </w:rPr>
        <w:t>:</w:t>
      </w:r>
    </w:p>
    <w:p w:rsidR="00B66248" w:rsidRPr="00A26A7A" w:rsidRDefault="00B66248" w:rsidP="00B66248">
      <w:pPr>
        <w:jc w:val="both"/>
        <w:rPr>
          <w:rFonts w:cs="Arial"/>
          <w:i/>
          <w:iCs/>
        </w:rPr>
      </w:pPr>
    </w:p>
    <w:tbl>
      <w:tblPr>
        <w:tblStyle w:val="Rcsostblzat"/>
        <w:tblW w:w="7318" w:type="dxa"/>
        <w:jc w:val="center"/>
        <w:tblLook w:val="04A0" w:firstRow="1" w:lastRow="0" w:firstColumn="1" w:lastColumn="0" w:noHBand="0" w:noVBand="1"/>
      </w:tblPr>
      <w:tblGrid>
        <w:gridCol w:w="510"/>
        <w:gridCol w:w="1606"/>
        <w:gridCol w:w="2601"/>
        <w:gridCol w:w="2601"/>
      </w:tblGrid>
      <w:tr w:rsidR="0050783B" w:rsidRPr="00A26A7A" w:rsidTr="00F95768">
        <w:trPr>
          <w:jc w:val="center"/>
        </w:trPr>
        <w:tc>
          <w:tcPr>
            <w:tcW w:w="510" w:type="dxa"/>
          </w:tcPr>
          <w:p w:rsidR="0050783B" w:rsidRPr="00A26A7A" w:rsidRDefault="0050783B" w:rsidP="00B66248">
            <w:pPr>
              <w:jc w:val="both"/>
              <w:rPr>
                <w:rFonts w:cs="Arial"/>
                <w:i/>
                <w:iCs/>
              </w:rPr>
            </w:pP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Alapdíj kedvezmény</w:t>
            </w:r>
          </w:p>
          <w:p w:rsidR="0050783B" w:rsidRPr="00A26A7A" w:rsidRDefault="0050783B" w:rsidP="00B66248">
            <w:pPr>
              <w:spacing w:line="276" w:lineRule="auto"/>
              <w:jc w:val="both"/>
              <w:rPr>
                <w:rFonts w:cs="Arial"/>
                <w:i/>
                <w:iCs/>
              </w:rPr>
            </w:pPr>
            <w:r w:rsidRPr="00A26A7A">
              <w:rPr>
                <w:rFonts w:cs="Arial"/>
                <w:i/>
                <w:iCs/>
              </w:rPr>
              <w:t>mértéke</w:t>
            </w:r>
          </w:p>
        </w:tc>
        <w:tc>
          <w:tcPr>
            <w:tcW w:w="2601" w:type="dxa"/>
            <w:vAlign w:val="center"/>
          </w:tcPr>
          <w:p w:rsidR="0050783B" w:rsidRPr="00A26A7A" w:rsidRDefault="0050783B" w:rsidP="00B66248">
            <w:pPr>
              <w:spacing w:line="276" w:lineRule="auto"/>
              <w:jc w:val="both"/>
              <w:rPr>
                <w:rFonts w:cs="Arial"/>
                <w:i/>
                <w:iCs/>
              </w:rPr>
            </w:pPr>
            <w:r w:rsidRPr="00A26A7A">
              <w:rPr>
                <w:rFonts w:cs="Arial"/>
                <w:i/>
                <w:iCs/>
              </w:rPr>
              <w:t>Lekötött hőteljesítmény</w:t>
            </w:r>
          </w:p>
        </w:tc>
        <w:tc>
          <w:tcPr>
            <w:tcW w:w="2601" w:type="dxa"/>
          </w:tcPr>
          <w:p w:rsidR="0050783B" w:rsidRPr="00A26A7A" w:rsidRDefault="0050783B" w:rsidP="00B66248">
            <w:pPr>
              <w:spacing w:line="276" w:lineRule="auto"/>
              <w:jc w:val="both"/>
              <w:rPr>
                <w:rFonts w:cs="Arial"/>
                <w:i/>
                <w:iCs/>
              </w:rPr>
            </w:pPr>
          </w:p>
          <w:p w:rsidR="0050783B" w:rsidRPr="00A26A7A" w:rsidRDefault="0050783B" w:rsidP="00B66248">
            <w:pPr>
              <w:spacing w:line="276" w:lineRule="auto"/>
              <w:jc w:val="both"/>
              <w:rPr>
                <w:rFonts w:cs="Arial"/>
                <w:i/>
                <w:iCs/>
              </w:rPr>
            </w:pPr>
            <w:r w:rsidRPr="00A26A7A">
              <w:rPr>
                <w:rFonts w:cs="Arial"/>
                <w:i/>
                <w:iCs/>
              </w:rPr>
              <w:t>Min. szerződéses futamidő</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lastRenderedPageBreak/>
              <w:t>1</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10%</w:t>
            </w:r>
          </w:p>
        </w:tc>
        <w:tc>
          <w:tcPr>
            <w:tcW w:w="2601" w:type="dxa"/>
            <w:vMerge w:val="restart"/>
            <w:vAlign w:val="center"/>
          </w:tcPr>
          <w:p w:rsidR="0050783B" w:rsidRPr="00A26A7A" w:rsidRDefault="0050783B" w:rsidP="00B66248">
            <w:pPr>
              <w:spacing w:line="276" w:lineRule="auto"/>
              <w:jc w:val="both"/>
              <w:rPr>
                <w:rFonts w:cs="Arial"/>
                <w:i/>
                <w:iCs/>
              </w:rPr>
            </w:pPr>
            <w:r w:rsidRPr="00A26A7A">
              <w:rPr>
                <w:rFonts w:cs="Arial"/>
                <w:i/>
                <w:iCs/>
              </w:rPr>
              <w:t>50 – 99 kW</w:t>
            </w:r>
          </w:p>
        </w:tc>
        <w:tc>
          <w:tcPr>
            <w:tcW w:w="2601"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2</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20%</w:t>
            </w:r>
          </w:p>
        </w:tc>
        <w:tc>
          <w:tcPr>
            <w:tcW w:w="2601" w:type="dxa"/>
            <w:vMerge/>
            <w:vAlign w:val="center"/>
          </w:tcPr>
          <w:p w:rsidR="0050783B" w:rsidRPr="00A26A7A" w:rsidRDefault="0050783B" w:rsidP="00B66248">
            <w:pPr>
              <w:spacing w:line="276" w:lineRule="auto"/>
              <w:jc w:val="both"/>
              <w:rPr>
                <w:rFonts w:cs="Arial"/>
                <w:i/>
                <w:iCs/>
              </w:rPr>
            </w:pPr>
          </w:p>
        </w:tc>
        <w:tc>
          <w:tcPr>
            <w:tcW w:w="2601"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3</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20%</w:t>
            </w:r>
          </w:p>
        </w:tc>
        <w:tc>
          <w:tcPr>
            <w:tcW w:w="2601" w:type="dxa"/>
            <w:vMerge w:val="restart"/>
            <w:vAlign w:val="center"/>
          </w:tcPr>
          <w:p w:rsidR="0050783B" w:rsidRPr="00A26A7A" w:rsidRDefault="0050783B" w:rsidP="00B66248">
            <w:pPr>
              <w:spacing w:line="276" w:lineRule="auto"/>
              <w:jc w:val="both"/>
              <w:rPr>
                <w:rFonts w:cs="Arial"/>
                <w:i/>
                <w:iCs/>
              </w:rPr>
            </w:pPr>
            <w:r w:rsidRPr="00A26A7A">
              <w:rPr>
                <w:rFonts w:cs="Arial"/>
                <w:i/>
                <w:iCs/>
              </w:rPr>
              <w:t>100 – 249 kW</w:t>
            </w:r>
          </w:p>
        </w:tc>
        <w:tc>
          <w:tcPr>
            <w:tcW w:w="2601"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4</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25%</w:t>
            </w:r>
          </w:p>
        </w:tc>
        <w:tc>
          <w:tcPr>
            <w:tcW w:w="2601" w:type="dxa"/>
            <w:vMerge/>
            <w:vAlign w:val="center"/>
          </w:tcPr>
          <w:p w:rsidR="0050783B" w:rsidRPr="00A26A7A" w:rsidRDefault="0050783B" w:rsidP="00B66248">
            <w:pPr>
              <w:spacing w:line="276" w:lineRule="auto"/>
              <w:jc w:val="both"/>
              <w:rPr>
                <w:rFonts w:cs="Arial"/>
                <w:i/>
                <w:iCs/>
              </w:rPr>
            </w:pPr>
          </w:p>
        </w:tc>
        <w:tc>
          <w:tcPr>
            <w:tcW w:w="2601"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5</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25%</w:t>
            </w:r>
          </w:p>
        </w:tc>
        <w:tc>
          <w:tcPr>
            <w:tcW w:w="2601" w:type="dxa"/>
            <w:vMerge w:val="restart"/>
            <w:vAlign w:val="center"/>
          </w:tcPr>
          <w:p w:rsidR="0050783B" w:rsidRPr="00A26A7A" w:rsidRDefault="0050783B" w:rsidP="00B66248">
            <w:pPr>
              <w:spacing w:line="276" w:lineRule="auto"/>
              <w:jc w:val="both"/>
              <w:rPr>
                <w:rFonts w:cs="Arial"/>
                <w:i/>
                <w:iCs/>
              </w:rPr>
            </w:pPr>
            <w:r w:rsidRPr="00A26A7A">
              <w:rPr>
                <w:rFonts w:cs="Arial"/>
                <w:i/>
                <w:iCs/>
              </w:rPr>
              <w:t>250 – 499 kW</w:t>
            </w:r>
          </w:p>
        </w:tc>
        <w:tc>
          <w:tcPr>
            <w:tcW w:w="2601"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6</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35%</w:t>
            </w:r>
          </w:p>
        </w:tc>
        <w:tc>
          <w:tcPr>
            <w:tcW w:w="2601" w:type="dxa"/>
            <w:vMerge/>
            <w:vAlign w:val="center"/>
          </w:tcPr>
          <w:p w:rsidR="0050783B" w:rsidRPr="00A26A7A" w:rsidRDefault="0050783B" w:rsidP="00B66248">
            <w:pPr>
              <w:spacing w:line="276" w:lineRule="auto"/>
              <w:jc w:val="both"/>
              <w:rPr>
                <w:rFonts w:cs="Arial"/>
                <w:i/>
                <w:iCs/>
              </w:rPr>
            </w:pPr>
          </w:p>
        </w:tc>
        <w:tc>
          <w:tcPr>
            <w:tcW w:w="2601"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7</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35%</w:t>
            </w:r>
          </w:p>
        </w:tc>
        <w:tc>
          <w:tcPr>
            <w:tcW w:w="2601" w:type="dxa"/>
            <w:vMerge w:val="restart"/>
            <w:vAlign w:val="center"/>
          </w:tcPr>
          <w:p w:rsidR="0050783B" w:rsidRPr="00A26A7A" w:rsidRDefault="0050783B" w:rsidP="00B66248">
            <w:pPr>
              <w:spacing w:line="276" w:lineRule="auto"/>
              <w:jc w:val="both"/>
              <w:rPr>
                <w:rFonts w:cs="Arial"/>
                <w:i/>
                <w:iCs/>
              </w:rPr>
            </w:pPr>
            <w:r w:rsidRPr="00A26A7A">
              <w:rPr>
                <w:rFonts w:cs="Arial"/>
                <w:i/>
                <w:iCs/>
              </w:rPr>
              <w:t>500 – 749 kW</w:t>
            </w:r>
          </w:p>
        </w:tc>
        <w:tc>
          <w:tcPr>
            <w:tcW w:w="2601"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8</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45%</w:t>
            </w:r>
          </w:p>
        </w:tc>
        <w:tc>
          <w:tcPr>
            <w:tcW w:w="2601" w:type="dxa"/>
            <w:vMerge/>
            <w:vAlign w:val="center"/>
          </w:tcPr>
          <w:p w:rsidR="0050783B" w:rsidRPr="00A26A7A" w:rsidRDefault="0050783B" w:rsidP="00B66248">
            <w:pPr>
              <w:spacing w:line="276" w:lineRule="auto"/>
              <w:jc w:val="both"/>
              <w:rPr>
                <w:rFonts w:cs="Arial"/>
                <w:i/>
                <w:iCs/>
              </w:rPr>
            </w:pPr>
          </w:p>
        </w:tc>
        <w:tc>
          <w:tcPr>
            <w:tcW w:w="2601"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95768">
        <w:trPr>
          <w:jc w:val="center"/>
        </w:trPr>
        <w:tc>
          <w:tcPr>
            <w:tcW w:w="510" w:type="dxa"/>
          </w:tcPr>
          <w:p w:rsidR="0050783B" w:rsidRPr="00A26A7A" w:rsidRDefault="009709D1" w:rsidP="00B66248">
            <w:pPr>
              <w:jc w:val="both"/>
              <w:rPr>
                <w:rFonts w:cs="Arial"/>
                <w:i/>
                <w:iCs/>
              </w:rPr>
            </w:pPr>
            <w:r>
              <w:rPr>
                <w:rFonts w:cs="Arial"/>
                <w:i/>
                <w:iCs/>
              </w:rPr>
              <w:t>9</w:t>
            </w:r>
            <w:r w:rsidR="006F32DE">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45%</w:t>
            </w:r>
          </w:p>
        </w:tc>
        <w:tc>
          <w:tcPr>
            <w:tcW w:w="2601" w:type="dxa"/>
            <w:vMerge w:val="restart"/>
            <w:vAlign w:val="center"/>
          </w:tcPr>
          <w:p w:rsidR="0050783B" w:rsidRPr="00A26A7A" w:rsidRDefault="0050783B" w:rsidP="00B66248">
            <w:pPr>
              <w:spacing w:line="276" w:lineRule="auto"/>
              <w:jc w:val="both"/>
              <w:rPr>
                <w:rFonts w:cs="Arial"/>
                <w:i/>
                <w:iCs/>
              </w:rPr>
            </w:pPr>
            <w:r w:rsidRPr="00A26A7A">
              <w:rPr>
                <w:rFonts w:cs="Arial"/>
                <w:i/>
                <w:iCs/>
              </w:rPr>
              <w:t>750 – 999 kW</w:t>
            </w:r>
          </w:p>
        </w:tc>
        <w:tc>
          <w:tcPr>
            <w:tcW w:w="2601"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95768">
        <w:trPr>
          <w:jc w:val="center"/>
        </w:trPr>
        <w:tc>
          <w:tcPr>
            <w:tcW w:w="510" w:type="dxa"/>
          </w:tcPr>
          <w:p w:rsidR="0050783B" w:rsidRPr="00A26A7A" w:rsidRDefault="006F32DE" w:rsidP="009709D1">
            <w:pPr>
              <w:jc w:val="both"/>
              <w:rPr>
                <w:rFonts w:cs="Arial"/>
                <w:i/>
                <w:iCs/>
              </w:rPr>
            </w:pPr>
            <w:r>
              <w:rPr>
                <w:rFonts w:cs="Arial"/>
                <w:i/>
                <w:iCs/>
              </w:rPr>
              <w:t>1</w:t>
            </w:r>
            <w:r w:rsidR="009709D1">
              <w:rPr>
                <w:rFonts w:cs="Arial"/>
                <w:i/>
                <w:iCs/>
              </w:rPr>
              <w:t>0</w:t>
            </w:r>
            <w:r>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55%</w:t>
            </w:r>
          </w:p>
        </w:tc>
        <w:tc>
          <w:tcPr>
            <w:tcW w:w="2601" w:type="dxa"/>
            <w:vMerge/>
            <w:vAlign w:val="center"/>
          </w:tcPr>
          <w:p w:rsidR="0050783B" w:rsidRPr="00A26A7A" w:rsidRDefault="0050783B" w:rsidP="00B66248">
            <w:pPr>
              <w:spacing w:line="276" w:lineRule="auto"/>
              <w:jc w:val="both"/>
              <w:rPr>
                <w:rFonts w:cs="Arial"/>
                <w:i/>
                <w:iCs/>
              </w:rPr>
            </w:pPr>
          </w:p>
        </w:tc>
        <w:tc>
          <w:tcPr>
            <w:tcW w:w="2601" w:type="dxa"/>
          </w:tcPr>
          <w:p w:rsidR="0050783B" w:rsidRPr="00A26A7A" w:rsidRDefault="0050783B" w:rsidP="00B66248">
            <w:pPr>
              <w:spacing w:line="276" w:lineRule="auto"/>
              <w:jc w:val="both"/>
              <w:rPr>
                <w:rFonts w:cs="Arial"/>
                <w:i/>
                <w:iCs/>
              </w:rPr>
            </w:pPr>
            <w:r w:rsidRPr="00A26A7A">
              <w:rPr>
                <w:rFonts w:cs="Arial"/>
                <w:i/>
                <w:iCs/>
              </w:rPr>
              <w:t>10 év</w:t>
            </w:r>
          </w:p>
        </w:tc>
      </w:tr>
      <w:tr w:rsidR="0050783B" w:rsidRPr="00A26A7A" w:rsidTr="00F95768">
        <w:trPr>
          <w:jc w:val="center"/>
        </w:trPr>
        <w:tc>
          <w:tcPr>
            <w:tcW w:w="510" w:type="dxa"/>
          </w:tcPr>
          <w:p w:rsidR="0050783B" w:rsidRPr="00A26A7A" w:rsidRDefault="006F32DE" w:rsidP="009709D1">
            <w:pPr>
              <w:jc w:val="both"/>
              <w:rPr>
                <w:rFonts w:cs="Arial"/>
                <w:i/>
                <w:iCs/>
              </w:rPr>
            </w:pPr>
            <w:r>
              <w:rPr>
                <w:rFonts w:cs="Arial"/>
                <w:i/>
                <w:iCs/>
              </w:rPr>
              <w:t>1</w:t>
            </w:r>
            <w:r w:rsidR="009709D1">
              <w:rPr>
                <w:rFonts w:cs="Arial"/>
                <w:i/>
                <w:iCs/>
              </w:rPr>
              <w:t>1</w:t>
            </w:r>
            <w:r>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55%</w:t>
            </w:r>
          </w:p>
        </w:tc>
        <w:tc>
          <w:tcPr>
            <w:tcW w:w="2601" w:type="dxa"/>
            <w:vMerge w:val="restart"/>
            <w:vAlign w:val="center"/>
          </w:tcPr>
          <w:p w:rsidR="0050783B" w:rsidRPr="00A26A7A" w:rsidRDefault="0050783B" w:rsidP="00B66248">
            <w:pPr>
              <w:spacing w:line="276" w:lineRule="auto"/>
              <w:jc w:val="both"/>
              <w:rPr>
                <w:rFonts w:cs="Arial"/>
                <w:i/>
                <w:iCs/>
              </w:rPr>
            </w:pPr>
            <w:r w:rsidRPr="00A26A7A">
              <w:rPr>
                <w:rFonts w:cs="Arial"/>
                <w:i/>
                <w:iCs/>
              </w:rPr>
              <w:t>1000 kW –</w:t>
            </w:r>
          </w:p>
        </w:tc>
        <w:tc>
          <w:tcPr>
            <w:tcW w:w="2601" w:type="dxa"/>
          </w:tcPr>
          <w:p w:rsidR="0050783B" w:rsidRPr="00A26A7A" w:rsidRDefault="0050783B" w:rsidP="00B66248">
            <w:pPr>
              <w:spacing w:line="276" w:lineRule="auto"/>
              <w:jc w:val="both"/>
              <w:rPr>
                <w:rFonts w:cs="Arial"/>
                <w:i/>
                <w:iCs/>
              </w:rPr>
            </w:pPr>
            <w:r w:rsidRPr="00A26A7A">
              <w:rPr>
                <w:rFonts w:cs="Arial"/>
                <w:i/>
                <w:iCs/>
              </w:rPr>
              <w:t>5 év</w:t>
            </w:r>
          </w:p>
        </w:tc>
      </w:tr>
      <w:tr w:rsidR="0050783B" w:rsidRPr="00A26A7A" w:rsidTr="00F95768">
        <w:trPr>
          <w:jc w:val="center"/>
        </w:trPr>
        <w:tc>
          <w:tcPr>
            <w:tcW w:w="510" w:type="dxa"/>
          </w:tcPr>
          <w:p w:rsidR="0050783B" w:rsidRPr="00A26A7A" w:rsidRDefault="006F32DE" w:rsidP="009709D1">
            <w:pPr>
              <w:jc w:val="both"/>
              <w:rPr>
                <w:rFonts w:cs="Arial"/>
                <w:i/>
                <w:iCs/>
              </w:rPr>
            </w:pPr>
            <w:r>
              <w:rPr>
                <w:rFonts w:cs="Arial"/>
                <w:i/>
                <w:iCs/>
              </w:rPr>
              <w:t>1</w:t>
            </w:r>
            <w:r w:rsidR="009709D1">
              <w:rPr>
                <w:rFonts w:cs="Arial"/>
                <w:i/>
                <w:iCs/>
              </w:rPr>
              <w:t>2</w:t>
            </w:r>
            <w:r>
              <w:rPr>
                <w:rFonts w:cs="Arial"/>
                <w:i/>
                <w:iCs/>
              </w:rPr>
              <w:t>.</w:t>
            </w:r>
          </w:p>
        </w:tc>
        <w:tc>
          <w:tcPr>
            <w:tcW w:w="1606" w:type="dxa"/>
            <w:vAlign w:val="center"/>
          </w:tcPr>
          <w:p w:rsidR="0050783B" w:rsidRPr="00A26A7A" w:rsidRDefault="0050783B" w:rsidP="00B66248">
            <w:pPr>
              <w:spacing w:line="276" w:lineRule="auto"/>
              <w:jc w:val="both"/>
              <w:rPr>
                <w:rFonts w:cs="Arial"/>
                <w:i/>
                <w:iCs/>
              </w:rPr>
            </w:pPr>
            <w:r w:rsidRPr="00A26A7A">
              <w:rPr>
                <w:rFonts w:cs="Arial"/>
                <w:i/>
                <w:iCs/>
              </w:rPr>
              <w:t>65%</w:t>
            </w:r>
          </w:p>
        </w:tc>
        <w:tc>
          <w:tcPr>
            <w:tcW w:w="2601" w:type="dxa"/>
            <w:vMerge/>
            <w:vAlign w:val="center"/>
          </w:tcPr>
          <w:p w:rsidR="0050783B" w:rsidRPr="00A26A7A" w:rsidRDefault="0050783B" w:rsidP="00B66248">
            <w:pPr>
              <w:spacing w:line="276" w:lineRule="auto"/>
              <w:jc w:val="both"/>
              <w:rPr>
                <w:rFonts w:cs="Arial"/>
                <w:i/>
                <w:iCs/>
              </w:rPr>
            </w:pPr>
          </w:p>
        </w:tc>
        <w:tc>
          <w:tcPr>
            <w:tcW w:w="2601" w:type="dxa"/>
          </w:tcPr>
          <w:p w:rsidR="0050783B" w:rsidRPr="00A26A7A" w:rsidRDefault="0050783B" w:rsidP="00B66248">
            <w:pPr>
              <w:spacing w:line="276" w:lineRule="auto"/>
              <w:jc w:val="both"/>
              <w:rPr>
                <w:rFonts w:cs="Arial"/>
                <w:i/>
                <w:iCs/>
              </w:rPr>
            </w:pPr>
            <w:r w:rsidRPr="00A26A7A">
              <w:rPr>
                <w:rFonts w:cs="Arial"/>
                <w:i/>
                <w:iCs/>
              </w:rPr>
              <w:t>10 év</w:t>
            </w:r>
          </w:p>
        </w:tc>
      </w:tr>
    </w:tbl>
    <w:p w:rsidR="00B66248" w:rsidRPr="00A26A7A" w:rsidRDefault="00B66248" w:rsidP="00B66248">
      <w:pPr>
        <w:jc w:val="both"/>
        <w:rPr>
          <w:rFonts w:cs="Arial"/>
          <w:i/>
          <w:iCs/>
        </w:rPr>
      </w:pPr>
    </w:p>
    <w:p w:rsidR="00B66248" w:rsidRDefault="00B66248" w:rsidP="00B66248">
      <w:pPr>
        <w:jc w:val="both"/>
        <w:rPr>
          <w:rFonts w:cs="Arial"/>
          <w:b/>
          <w:i/>
          <w:iCs/>
        </w:rPr>
      </w:pPr>
    </w:p>
    <w:p w:rsidR="00B66248" w:rsidRDefault="00B66248" w:rsidP="00B66248">
      <w:pPr>
        <w:jc w:val="both"/>
        <w:rPr>
          <w:rFonts w:cs="Arial"/>
          <w:b/>
          <w:i/>
          <w:iCs/>
        </w:rPr>
      </w:pPr>
    </w:p>
    <w:p w:rsidR="00B66248" w:rsidRDefault="00B66248" w:rsidP="00453280">
      <w:pPr>
        <w:pStyle w:val="Listaszerbekezds"/>
        <w:numPr>
          <w:ilvl w:val="1"/>
          <w:numId w:val="10"/>
        </w:numPr>
        <w:jc w:val="both"/>
        <w:rPr>
          <w:rFonts w:cs="Arial"/>
          <w:i/>
          <w:iCs/>
          <w:u w:val="single"/>
        </w:rPr>
      </w:pPr>
      <w:r w:rsidRPr="00453280">
        <w:rPr>
          <w:rFonts w:cs="Arial"/>
          <w:i/>
          <w:iCs/>
          <w:u w:val="single"/>
        </w:rPr>
        <w:t>Abban az esetben, ha a távhőszolgáltatás igénybevételéhez szükséges beruházás költségét a Távhőszolgáltató viseli</w:t>
      </w:r>
      <w:r w:rsidR="00464A02">
        <w:rPr>
          <w:rFonts w:cs="Arial"/>
          <w:i/>
          <w:iCs/>
          <w:u w:val="single"/>
        </w:rPr>
        <w:t>:</w:t>
      </w:r>
    </w:p>
    <w:p w:rsidR="00C71B73" w:rsidRDefault="00C71B73" w:rsidP="00C71B73">
      <w:pPr>
        <w:pStyle w:val="Listaszerbekezds"/>
        <w:jc w:val="both"/>
        <w:rPr>
          <w:rFonts w:cs="Arial"/>
        </w:rPr>
      </w:pPr>
    </w:p>
    <w:p w:rsidR="00C71B73" w:rsidRPr="00C71B73" w:rsidRDefault="00C71B73" w:rsidP="00C71B73">
      <w:pPr>
        <w:pStyle w:val="Listaszerbekezds"/>
        <w:jc w:val="both"/>
        <w:rPr>
          <w:rFonts w:cs="Arial"/>
        </w:rPr>
      </w:pPr>
      <w:r>
        <w:rPr>
          <w:rFonts w:cs="Arial"/>
        </w:rPr>
        <w:t>A</w:t>
      </w:r>
      <w:r w:rsidRPr="00C71B73">
        <w:rPr>
          <w:rFonts w:cs="Arial"/>
        </w:rPr>
        <w:t xml:space="preserve"> fogyasztónak nyújtott alapdíj-kedvezmény csökkentésre kerül az adott fogyasztó távhőszolgáltatásba történő bekötéséhez szükséges beruházás pénzáramának szerződéskötés időpontjában esedékes</w:t>
      </w:r>
      <w:r w:rsidRPr="00C71B73">
        <w:rPr>
          <w:rFonts w:cs="Arial"/>
          <w:color w:val="1F497D"/>
        </w:rPr>
        <w:t xml:space="preserve"> – </w:t>
      </w:r>
      <w:r w:rsidRPr="00C71B73">
        <w:rPr>
          <w:rFonts w:cs="Arial"/>
        </w:rPr>
        <w:t>a közszolgáltatási szerződés megkötésekor irányadó jegybanki alapkamat hét százalékponttal növelt, de legfeljebb 8%-kal diszkontált –</w:t>
      </w:r>
      <w:r w:rsidRPr="00C71B73">
        <w:rPr>
          <w:rFonts w:cs="Arial"/>
          <w:color w:val="1F497D"/>
        </w:rPr>
        <w:t xml:space="preserve"> </w:t>
      </w:r>
      <w:r w:rsidRPr="00C71B73">
        <w:rPr>
          <w:rFonts w:cs="Arial"/>
        </w:rPr>
        <w:t>jelenértékével.</w:t>
      </w:r>
    </w:p>
    <w:p w:rsidR="00AA4E08" w:rsidRPr="00AA4E08" w:rsidRDefault="00AA4E08" w:rsidP="00AA4E08">
      <w:pPr>
        <w:ind w:left="1080"/>
        <w:jc w:val="both"/>
        <w:rPr>
          <w:rFonts w:cs="Arial"/>
          <w:iCs/>
        </w:rPr>
      </w:pPr>
    </w:p>
    <w:sectPr w:rsidR="00AA4E08" w:rsidRPr="00AA4E08" w:rsidSect="00A5152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F51" w:rsidRDefault="00AF7F51" w:rsidP="00565340">
      <w:pPr>
        <w:spacing w:after="0" w:line="240" w:lineRule="auto"/>
      </w:pPr>
      <w:r>
        <w:separator/>
      </w:r>
    </w:p>
  </w:endnote>
  <w:endnote w:type="continuationSeparator" w:id="0">
    <w:p w:rsidR="00AF7F51" w:rsidRDefault="00AF7F51" w:rsidP="0056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021034"/>
      <w:docPartObj>
        <w:docPartGallery w:val="Page Numbers (Bottom of Page)"/>
        <w:docPartUnique/>
      </w:docPartObj>
    </w:sdtPr>
    <w:sdtEndPr/>
    <w:sdtContent>
      <w:p w:rsidR="00B66248" w:rsidRDefault="002E3A24">
        <w:pPr>
          <w:pStyle w:val="llb"/>
          <w:jc w:val="center"/>
        </w:pPr>
        <w:r>
          <w:fldChar w:fldCharType="begin"/>
        </w:r>
        <w:r>
          <w:instrText>PAGE   \* MERGEFORMAT</w:instrText>
        </w:r>
        <w:r>
          <w:fldChar w:fldCharType="separate"/>
        </w:r>
        <w:r w:rsidR="00EC464F">
          <w:rPr>
            <w:noProof/>
          </w:rPr>
          <w:t>2</w:t>
        </w:r>
        <w:r>
          <w:rPr>
            <w:noProof/>
          </w:rPr>
          <w:fldChar w:fldCharType="end"/>
        </w:r>
      </w:p>
    </w:sdtContent>
  </w:sdt>
  <w:p w:rsidR="00B66248" w:rsidRDefault="00B6624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F51" w:rsidRDefault="00AF7F51" w:rsidP="00565340">
      <w:pPr>
        <w:spacing w:after="0" w:line="240" w:lineRule="auto"/>
      </w:pPr>
      <w:r>
        <w:separator/>
      </w:r>
    </w:p>
  </w:footnote>
  <w:footnote w:type="continuationSeparator" w:id="0">
    <w:p w:rsidR="00AF7F51" w:rsidRDefault="00AF7F51" w:rsidP="00565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34D7"/>
    <w:multiLevelType w:val="hybridMultilevel"/>
    <w:tmpl w:val="A3323F84"/>
    <w:lvl w:ilvl="0" w:tplc="5B00829C">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20A17CAD"/>
    <w:multiLevelType w:val="hybridMultilevel"/>
    <w:tmpl w:val="5874BA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C57C32"/>
    <w:multiLevelType w:val="hybridMultilevel"/>
    <w:tmpl w:val="63BA3752"/>
    <w:lvl w:ilvl="0" w:tplc="901272D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B1487D"/>
    <w:multiLevelType w:val="hybridMultilevel"/>
    <w:tmpl w:val="66D0DA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3BA330C"/>
    <w:multiLevelType w:val="multilevel"/>
    <w:tmpl w:val="B314AA6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0F5B67"/>
    <w:multiLevelType w:val="hybridMultilevel"/>
    <w:tmpl w:val="7A62645C"/>
    <w:lvl w:ilvl="0" w:tplc="D424EFB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C47296"/>
    <w:multiLevelType w:val="hybridMultilevel"/>
    <w:tmpl w:val="6B6224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226C06"/>
    <w:multiLevelType w:val="multilevel"/>
    <w:tmpl w:val="78B0846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F250C9"/>
    <w:multiLevelType w:val="multilevel"/>
    <w:tmpl w:val="7298C38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9" w15:restartNumberingAfterBreak="0">
    <w:nsid w:val="5570685E"/>
    <w:multiLevelType w:val="hybridMultilevel"/>
    <w:tmpl w:val="7B88A47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61FD6F80"/>
    <w:multiLevelType w:val="hybridMultilevel"/>
    <w:tmpl w:val="CBC27B7C"/>
    <w:lvl w:ilvl="0" w:tplc="81C868D6">
      <w:start w:val="1"/>
      <w:numFmt w:val="lowerLetter"/>
      <w:lvlText w:val="%1)"/>
      <w:lvlJc w:val="left"/>
      <w:pPr>
        <w:ind w:left="720" w:hanging="360"/>
      </w:pPr>
      <w:rPr>
        <w:rFonts w:hint="default"/>
        <w:b w:val="0"/>
      </w:rPr>
    </w:lvl>
    <w:lvl w:ilvl="1" w:tplc="775C7444">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43D32C0"/>
    <w:multiLevelType w:val="multilevel"/>
    <w:tmpl w:val="7298C38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2" w15:restartNumberingAfterBreak="0">
    <w:nsid w:val="73A420B2"/>
    <w:multiLevelType w:val="multilevel"/>
    <w:tmpl w:val="7298C38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3" w15:restartNumberingAfterBreak="0">
    <w:nsid w:val="7D6E2D12"/>
    <w:multiLevelType w:val="multilevel"/>
    <w:tmpl w:val="8F3A475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2"/>
  </w:num>
  <w:num w:numId="4">
    <w:abstractNumId w:val="0"/>
  </w:num>
  <w:num w:numId="5">
    <w:abstractNumId w:val="10"/>
  </w:num>
  <w:num w:numId="6">
    <w:abstractNumId w:val="9"/>
  </w:num>
  <w:num w:numId="7">
    <w:abstractNumId w:val="7"/>
  </w:num>
  <w:num w:numId="8">
    <w:abstractNumId w:val="3"/>
  </w:num>
  <w:num w:numId="9">
    <w:abstractNumId w:val="6"/>
  </w:num>
  <w:num w:numId="10">
    <w:abstractNumId w:val="8"/>
  </w:num>
  <w:num w:numId="11">
    <w:abstractNumId w:val="12"/>
  </w:num>
  <w:num w:numId="12">
    <w:abstractNumId w:val="1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40"/>
    <w:rsid w:val="00052B6E"/>
    <w:rsid w:val="00056251"/>
    <w:rsid w:val="00095B19"/>
    <w:rsid w:val="00095FAD"/>
    <w:rsid w:val="000C37DB"/>
    <w:rsid w:val="000C6974"/>
    <w:rsid w:val="000E1FC1"/>
    <w:rsid w:val="00105602"/>
    <w:rsid w:val="00133845"/>
    <w:rsid w:val="00142A2F"/>
    <w:rsid w:val="00181DA7"/>
    <w:rsid w:val="00197151"/>
    <w:rsid w:val="002014BF"/>
    <w:rsid w:val="00211405"/>
    <w:rsid w:val="00264295"/>
    <w:rsid w:val="00265F7C"/>
    <w:rsid w:val="00280419"/>
    <w:rsid w:val="00294E76"/>
    <w:rsid w:val="002D06BA"/>
    <w:rsid w:val="002E3A24"/>
    <w:rsid w:val="002E5D9E"/>
    <w:rsid w:val="00302465"/>
    <w:rsid w:val="00327C8E"/>
    <w:rsid w:val="003412D2"/>
    <w:rsid w:val="00350C85"/>
    <w:rsid w:val="003663C5"/>
    <w:rsid w:val="00375F9F"/>
    <w:rsid w:val="003C0722"/>
    <w:rsid w:val="003C5ED0"/>
    <w:rsid w:val="003D4D12"/>
    <w:rsid w:val="00400AED"/>
    <w:rsid w:val="00406B33"/>
    <w:rsid w:val="004335AC"/>
    <w:rsid w:val="00453280"/>
    <w:rsid w:val="00464A02"/>
    <w:rsid w:val="00487CA6"/>
    <w:rsid w:val="004C7AB8"/>
    <w:rsid w:val="004E5144"/>
    <w:rsid w:val="0050052B"/>
    <w:rsid w:val="0050783B"/>
    <w:rsid w:val="00507B4B"/>
    <w:rsid w:val="005302A4"/>
    <w:rsid w:val="00550B44"/>
    <w:rsid w:val="005542ED"/>
    <w:rsid w:val="00565340"/>
    <w:rsid w:val="00585542"/>
    <w:rsid w:val="005B4CC0"/>
    <w:rsid w:val="005B5027"/>
    <w:rsid w:val="005C374D"/>
    <w:rsid w:val="005C7D44"/>
    <w:rsid w:val="005D0947"/>
    <w:rsid w:val="00617DE4"/>
    <w:rsid w:val="00623711"/>
    <w:rsid w:val="00642DE6"/>
    <w:rsid w:val="006453DB"/>
    <w:rsid w:val="00692B30"/>
    <w:rsid w:val="006B77CA"/>
    <w:rsid w:val="006C05A9"/>
    <w:rsid w:val="006C52A6"/>
    <w:rsid w:val="006D781A"/>
    <w:rsid w:val="006E3055"/>
    <w:rsid w:val="006F32DE"/>
    <w:rsid w:val="00700B4B"/>
    <w:rsid w:val="00724BCC"/>
    <w:rsid w:val="00735C30"/>
    <w:rsid w:val="00756FA5"/>
    <w:rsid w:val="00774766"/>
    <w:rsid w:val="00791445"/>
    <w:rsid w:val="007F3FF7"/>
    <w:rsid w:val="00824C04"/>
    <w:rsid w:val="00846E89"/>
    <w:rsid w:val="00846EC3"/>
    <w:rsid w:val="00871522"/>
    <w:rsid w:val="00877797"/>
    <w:rsid w:val="00894EC4"/>
    <w:rsid w:val="008A2530"/>
    <w:rsid w:val="008C5ACC"/>
    <w:rsid w:val="008D1C22"/>
    <w:rsid w:val="008F0358"/>
    <w:rsid w:val="00916F53"/>
    <w:rsid w:val="009506EF"/>
    <w:rsid w:val="00962CBF"/>
    <w:rsid w:val="0096477D"/>
    <w:rsid w:val="009660C6"/>
    <w:rsid w:val="009709D1"/>
    <w:rsid w:val="0098078D"/>
    <w:rsid w:val="009A04E5"/>
    <w:rsid w:val="009A17B1"/>
    <w:rsid w:val="009A4B01"/>
    <w:rsid w:val="009A4E81"/>
    <w:rsid w:val="009C27E0"/>
    <w:rsid w:val="009C6EF5"/>
    <w:rsid w:val="009D17A7"/>
    <w:rsid w:val="009E6FC5"/>
    <w:rsid w:val="00A0464E"/>
    <w:rsid w:val="00A13C90"/>
    <w:rsid w:val="00A15185"/>
    <w:rsid w:val="00A26A7A"/>
    <w:rsid w:val="00A51521"/>
    <w:rsid w:val="00A71B4C"/>
    <w:rsid w:val="00A965E7"/>
    <w:rsid w:val="00AA223B"/>
    <w:rsid w:val="00AA4E08"/>
    <w:rsid w:val="00AA64FA"/>
    <w:rsid w:val="00AA7359"/>
    <w:rsid w:val="00AB05EA"/>
    <w:rsid w:val="00AB2A3B"/>
    <w:rsid w:val="00AC0FA9"/>
    <w:rsid w:val="00AF6747"/>
    <w:rsid w:val="00AF7F51"/>
    <w:rsid w:val="00B043C0"/>
    <w:rsid w:val="00B15A2F"/>
    <w:rsid w:val="00B17458"/>
    <w:rsid w:val="00B4772F"/>
    <w:rsid w:val="00B655CE"/>
    <w:rsid w:val="00B66248"/>
    <w:rsid w:val="00B74A66"/>
    <w:rsid w:val="00BD2DDA"/>
    <w:rsid w:val="00BF0EAB"/>
    <w:rsid w:val="00C006E0"/>
    <w:rsid w:val="00C17862"/>
    <w:rsid w:val="00C53176"/>
    <w:rsid w:val="00C65F73"/>
    <w:rsid w:val="00C71B73"/>
    <w:rsid w:val="00C747AC"/>
    <w:rsid w:val="00C74F13"/>
    <w:rsid w:val="00C93236"/>
    <w:rsid w:val="00CA00B1"/>
    <w:rsid w:val="00CA5DEA"/>
    <w:rsid w:val="00CE3E15"/>
    <w:rsid w:val="00D020BE"/>
    <w:rsid w:val="00D0434A"/>
    <w:rsid w:val="00D13CFD"/>
    <w:rsid w:val="00D25EB5"/>
    <w:rsid w:val="00D30C1E"/>
    <w:rsid w:val="00D35A4C"/>
    <w:rsid w:val="00DA088E"/>
    <w:rsid w:val="00DA71B8"/>
    <w:rsid w:val="00DF60C1"/>
    <w:rsid w:val="00E16855"/>
    <w:rsid w:val="00E50695"/>
    <w:rsid w:val="00E5681E"/>
    <w:rsid w:val="00E75236"/>
    <w:rsid w:val="00EC464F"/>
    <w:rsid w:val="00EC529D"/>
    <w:rsid w:val="00F04DAD"/>
    <w:rsid w:val="00F07655"/>
    <w:rsid w:val="00F315D0"/>
    <w:rsid w:val="00F3369F"/>
    <w:rsid w:val="00F43422"/>
    <w:rsid w:val="00F547EA"/>
    <w:rsid w:val="00F95768"/>
    <w:rsid w:val="00F976AE"/>
    <w:rsid w:val="00FC2AB4"/>
    <w:rsid w:val="00FD781C"/>
    <w:rsid w:val="00FE6A95"/>
    <w:rsid w:val="00FF10BA"/>
    <w:rsid w:val="00FF193C"/>
    <w:rsid w:val="00FF2805"/>
    <w:rsid w:val="00FF38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AAED2-B919-4CFC-A1EC-C49D1297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152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94E76"/>
    <w:pPr>
      <w:ind w:left="720"/>
      <w:contextualSpacing/>
    </w:pPr>
  </w:style>
  <w:style w:type="character" w:styleId="Jegyzethivatkozs">
    <w:name w:val="annotation reference"/>
    <w:basedOn w:val="Bekezdsalapbettpusa"/>
    <w:uiPriority w:val="99"/>
    <w:semiHidden/>
    <w:unhideWhenUsed/>
    <w:rsid w:val="00052B6E"/>
    <w:rPr>
      <w:sz w:val="16"/>
      <w:szCs w:val="16"/>
    </w:rPr>
  </w:style>
  <w:style w:type="paragraph" w:styleId="Jegyzetszveg">
    <w:name w:val="annotation text"/>
    <w:basedOn w:val="Norml"/>
    <w:link w:val="JegyzetszvegChar"/>
    <w:uiPriority w:val="99"/>
    <w:semiHidden/>
    <w:unhideWhenUsed/>
    <w:rsid w:val="00052B6E"/>
    <w:pPr>
      <w:spacing w:line="240" w:lineRule="auto"/>
    </w:pPr>
    <w:rPr>
      <w:sz w:val="20"/>
      <w:szCs w:val="20"/>
    </w:rPr>
  </w:style>
  <w:style w:type="character" w:customStyle="1" w:styleId="JegyzetszvegChar">
    <w:name w:val="Jegyzetszöveg Char"/>
    <w:basedOn w:val="Bekezdsalapbettpusa"/>
    <w:link w:val="Jegyzetszveg"/>
    <w:uiPriority w:val="99"/>
    <w:semiHidden/>
    <w:rsid w:val="00052B6E"/>
    <w:rPr>
      <w:sz w:val="20"/>
      <w:szCs w:val="20"/>
    </w:rPr>
  </w:style>
  <w:style w:type="paragraph" w:styleId="Megjegyzstrgya">
    <w:name w:val="annotation subject"/>
    <w:basedOn w:val="Jegyzetszveg"/>
    <w:next w:val="Jegyzetszveg"/>
    <w:link w:val="MegjegyzstrgyaChar"/>
    <w:uiPriority w:val="99"/>
    <w:semiHidden/>
    <w:unhideWhenUsed/>
    <w:rsid w:val="00052B6E"/>
    <w:rPr>
      <w:b/>
      <w:bCs/>
    </w:rPr>
  </w:style>
  <w:style w:type="character" w:customStyle="1" w:styleId="MegjegyzstrgyaChar">
    <w:name w:val="Megjegyzés tárgya Char"/>
    <w:basedOn w:val="JegyzetszvegChar"/>
    <w:link w:val="Megjegyzstrgya"/>
    <w:uiPriority w:val="99"/>
    <w:semiHidden/>
    <w:rsid w:val="00052B6E"/>
    <w:rPr>
      <w:b/>
      <w:bCs/>
      <w:sz w:val="20"/>
      <w:szCs w:val="20"/>
    </w:rPr>
  </w:style>
  <w:style w:type="paragraph" w:styleId="Buborkszveg">
    <w:name w:val="Balloon Text"/>
    <w:basedOn w:val="Norml"/>
    <w:link w:val="BuborkszvegChar"/>
    <w:uiPriority w:val="99"/>
    <w:semiHidden/>
    <w:unhideWhenUsed/>
    <w:rsid w:val="00052B6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2B6E"/>
    <w:rPr>
      <w:rFonts w:ascii="Tahoma" w:hAnsi="Tahoma" w:cs="Tahoma"/>
      <w:sz w:val="16"/>
      <w:szCs w:val="16"/>
    </w:rPr>
  </w:style>
  <w:style w:type="table" w:styleId="Rcsostblzat">
    <w:name w:val="Table Grid"/>
    <w:basedOn w:val="Normltblzat"/>
    <w:uiPriority w:val="59"/>
    <w:rsid w:val="00133845"/>
    <w:pPr>
      <w:spacing w:after="0" w:line="240" w:lineRule="auto"/>
    </w:pPr>
    <w:rPr>
      <w:rFonts w:asciiTheme="minorHAnsi" w:hAnsiTheme="minorHAnsi"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ltozat">
    <w:name w:val="Revision"/>
    <w:hidden/>
    <w:uiPriority w:val="99"/>
    <w:semiHidden/>
    <w:rsid w:val="003C5ED0"/>
    <w:pPr>
      <w:spacing w:after="0" w:line="240" w:lineRule="auto"/>
    </w:pPr>
  </w:style>
  <w:style w:type="paragraph" w:styleId="lfej">
    <w:name w:val="header"/>
    <w:basedOn w:val="Norml"/>
    <w:link w:val="lfejChar"/>
    <w:uiPriority w:val="99"/>
    <w:unhideWhenUsed/>
    <w:rsid w:val="00F315D0"/>
    <w:pPr>
      <w:tabs>
        <w:tab w:val="center" w:pos="4536"/>
        <w:tab w:val="right" w:pos="9072"/>
      </w:tabs>
      <w:spacing w:after="0" w:line="240" w:lineRule="auto"/>
    </w:pPr>
  </w:style>
  <w:style w:type="character" w:customStyle="1" w:styleId="lfejChar">
    <w:name w:val="Élőfej Char"/>
    <w:basedOn w:val="Bekezdsalapbettpusa"/>
    <w:link w:val="lfej"/>
    <w:uiPriority w:val="99"/>
    <w:rsid w:val="00F315D0"/>
  </w:style>
  <w:style w:type="paragraph" w:styleId="llb">
    <w:name w:val="footer"/>
    <w:basedOn w:val="Norml"/>
    <w:link w:val="llbChar"/>
    <w:uiPriority w:val="99"/>
    <w:unhideWhenUsed/>
    <w:rsid w:val="00F315D0"/>
    <w:pPr>
      <w:tabs>
        <w:tab w:val="center" w:pos="4536"/>
        <w:tab w:val="right" w:pos="9072"/>
      </w:tabs>
      <w:spacing w:after="0" w:line="240" w:lineRule="auto"/>
    </w:pPr>
  </w:style>
  <w:style w:type="character" w:customStyle="1" w:styleId="llbChar">
    <w:name w:val="Élőláb Char"/>
    <w:basedOn w:val="Bekezdsalapbettpusa"/>
    <w:link w:val="llb"/>
    <w:uiPriority w:val="99"/>
    <w:rsid w:val="00F3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5091">
      <w:bodyDiv w:val="1"/>
      <w:marLeft w:val="0"/>
      <w:marRight w:val="0"/>
      <w:marTop w:val="0"/>
      <w:marBottom w:val="0"/>
      <w:divBdr>
        <w:top w:val="none" w:sz="0" w:space="0" w:color="auto"/>
        <w:left w:val="none" w:sz="0" w:space="0" w:color="auto"/>
        <w:bottom w:val="none" w:sz="0" w:space="0" w:color="auto"/>
        <w:right w:val="none" w:sz="0" w:space="0" w:color="auto"/>
      </w:divBdr>
    </w:div>
    <w:div w:id="446660186">
      <w:bodyDiv w:val="1"/>
      <w:marLeft w:val="0"/>
      <w:marRight w:val="0"/>
      <w:marTop w:val="0"/>
      <w:marBottom w:val="0"/>
      <w:divBdr>
        <w:top w:val="none" w:sz="0" w:space="0" w:color="auto"/>
        <w:left w:val="none" w:sz="0" w:space="0" w:color="auto"/>
        <w:bottom w:val="none" w:sz="0" w:space="0" w:color="auto"/>
        <w:right w:val="none" w:sz="0" w:space="0" w:color="auto"/>
      </w:divBdr>
    </w:div>
    <w:div w:id="5466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7759DF4-628F-40F2-8A09-F38CC70C0B6D}"/>
</file>

<file path=customXml/itemProps2.xml><?xml version="1.0" encoding="utf-8"?>
<ds:datastoreItem xmlns:ds="http://schemas.openxmlformats.org/officeDocument/2006/customXml" ds:itemID="{89E69E8D-9DCE-4AFA-A53F-735BC9BF3737}"/>
</file>

<file path=customXml/itemProps3.xml><?xml version="1.0" encoding="utf-8"?>
<ds:datastoreItem xmlns:ds="http://schemas.openxmlformats.org/officeDocument/2006/customXml" ds:itemID="{C1D0AF37-6D5E-4C1D-9696-82A646F5E729}"/>
</file>

<file path=customXml/itemProps4.xml><?xml version="1.0" encoding="utf-8"?>
<ds:datastoreItem xmlns:ds="http://schemas.openxmlformats.org/officeDocument/2006/customXml" ds:itemID="{E5D7314B-4FEB-4585-A16E-2D43554935EB}"/>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9312</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Főtáv Zrt.</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Ortó Gergely</dc:creator>
  <cp:lastModifiedBy>Schmidt Gábor dr.</cp:lastModifiedBy>
  <cp:revision>2</cp:revision>
  <cp:lastPrinted>2016-05-23T08:22:00Z</cp:lastPrinted>
  <dcterms:created xsi:type="dcterms:W3CDTF">2016-07-26T13:22:00Z</dcterms:created>
  <dcterms:modified xsi:type="dcterms:W3CDTF">2016-07-26T13:22:00Z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