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FA9C" w14:textId="679DBC4E" w:rsidR="00A25639" w:rsidRPr="00CB64CC" w:rsidRDefault="00F351E5" w:rsidP="000B57B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B64CC">
        <w:rPr>
          <w:rFonts w:ascii="Arial" w:hAnsi="Arial" w:cs="Arial"/>
          <w:b/>
          <w:sz w:val="20"/>
          <w:szCs w:val="20"/>
        </w:rPr>
        <w:t>T</w:t>
      </w:r>
      <w:r w:rsidR="00033476" w:rsidRPr="00CB64CC">
        <w:rPr>
          <w:rFonts w:ascii="Arial" w:hAnsi="Arial" w:cs="Arial"/>
          <w:b/>
          <w:sz w:val="20"/>
          <w:szCs w:val="20"/>
        </w:rPr>
        <w:t>ájékoztató</w:t>
      </w:r>
    </w:p>
    <w:p w14:paraId="69580A1C" w14:textId="77777777" w:rsidR="008863F7" w:rsidRPr="00CB64CC" w:rsidRDefault="008863F7" w:rsidP="000B57BC">
      <w:pPr>
        <w:jc w:val="center"/>
        <w:rPr>
          <w:rFonts w:ascii="Arial" w:hAnsi="Arial" w:cs="Arial"/>
          <w:b/>
          <w:sz w:val="20"/>
          <w:szCs w:val="20"/>
        </w:rPr>
      </w:pPr>
      <w:r w:rsidRPr="00CB64CC">
        <w:rPr>
          <w:rFonts w:ascii="Arial" w:hAnsi="Arial" w:cs="Arial"/>
          <w:b/>
          <w:sz w:val="20"/>
          <w:szCs w:val="20"/>
        </w:rPr>
        <w:t>a bírósági ülnökválasztással kapcsol</w:t>
      </w:r>
      <w:r w:rsidR="00623EE3" w:rsidRPr="00CB64CC">
        <w:rPr>
          <w:rFonts w:ascii="Arial" w:hAnsi="Arial" w:cs="Arial"/>
          <w:b/>
          <w:sz w:val="20"/>
          <w:szCs w:val="20"/>
        </w:rPr>
        <w:t>a</w:t>
      </w:r>
      <w:r w:rsidRPr="00CB64CC">
        <w:rPr>
          <w:rFonts w:ascii="Arial" w:hAnsi="Arial" w:cs="Arial"/>
          <w:b/>
          <w:sz w:val="20"/>
          <w:szCs w:val="20"/>
        </w:rPr>
        <w:t>tos adatkezelésről</w:t>
      </w:r>
    </w:p>
    <w:p w14:paraId="2922DA3B" w14:textId="32AEB99D" w:rsidR="000B57BC" w:rsidRPr="00CB64CC" w:rsidRDefault="000B57BC" w:rsidP="006661C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91ACBBF" w14:textId="77E5CD89" w:rsidR="008863F7" w:rsidRPr="00CB64CC" w:rsidRDefault="008863F7" w:rsidP="006661CA">
      <w:pPr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 xml:space="preserve">Adatainak védelme fontos számunkra, ezért ezúton szeretnénk Önt tájékoztatni – az Európai Parlament és </w:t>
      </w:r>
      <w:r w:rsidR="007F7E76">
        <w:rPr>
          <w:rFonts w:ascii="Arial" w:hAnsi="Arial" w:cs="Arial"/>
          <w:sz w:val="20"/>
          <w:szCs w:val="20"/>
        </w:rPr>
        <w:t xml:space="preserve">a </w:t>
      </w:r>
      <w:r w:rsidRPr="00CB64CC">
        <w:rPr>
          <w:rFonts w:ascii="Arial" w:hAnsi="Arial" w:cs="Arial"/>
          <w:sz w:val="20"/>
          <w:szCs w:val="20"/>
        </w:rPr>
        <w:t>Tanács a természetes személyeknek a személyes adatok kezelése tekintetében történő védelméről és az ilyen adatok szabad áramlásáról, valamint a 95/46/EK irányelv hatályon kívül helyezéséről szóló 2016/679. rendelet (a továbbiakban Rendelet) alapján – a Rendelet által védelemben részesített személyes adatainak kezelésével kapcsolatos tudnivalókról.</w:t>
      </w:r>
    </w:p>
    <w:p w14:paraId="54072EB5" w14:textId="77777777" w:rsidR="00033476" w:rsidRPr="00CB64CC" w:rsidRDefault="00033476" w:rsidP="006661CA">
      <w:pPr>
        <w:jc w:val="both"/>
        <w:rPr>
          <w:rFonts w:ascii="Arial" w:hAnsi="Arial" w:cs="Arial"/>
          <w:b/>
          <w:sz w:val="20"/>
          <w:szCs w:val="20"/>
        </w:rPr>
      </w:pPr>
    </w:p>
    <w:p w14:paraId="3297CB2B" w14:textId="63F50D06" w:rsidR="00896332" w:rsidRPr="00CB64CC" w:rsidRDefault="00920E81" w:rsidP="00385C93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64CC">
        <w:rPr>
          <w:rFonts w:ascii="Arial" w:hAnsi="Arial" w:cs="Arial"/>
          <w:b/>
          <w:sz w:val="20"/>
          <w:szCs w:val="20"/>
        </w:rPr>
        <w:t>A</w:t>
      </w:r>
      <w:r w:rsidR="00033476" w:rsidRPr="00CB64CC">
        <w:rPr>
          <w:rFonts w:ascii="Arial" w:hAnsi="Arial" w:cs="Arial"/>
          <w:b/>
          <w:sz w:val="20"/>
          <w:szCs w:val="20"/>
        </w:rPr>
        <w:t xml:space="preserve">datkezelő neve, elérhetőségei </w:t>
      </w:r>
    </w:p>
    <w:p w14:paraId="2CEC7C54" w14:textId="25F782DD" w:rsidR="007F7E76" w:rsidRDefault="007F7E76" w:rsidP="008963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 Főváros Önkormányzata</w:t>
      </w:r>
    </w:p>
    <w:p w14:paraId="0459FC4D" w14:textId="460AF1D6" w:rsidR="00896332" w:rsidRPr="00CB64CC" w:rsidRDefault="00033476" w:rsidP="008963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 xml:space="preserve">Budapest Főváros Főpolgármesteri Hivatal – </w:t>
      </w:r>
      <w:r w:rsidR="00391641" w:rsidRPr="00CB64CC">
        <w:rPr>
          <w:rFonts w:ascii="Arial" w:hAnsi="Arial" w:cs="Arial"/>
          <w:sz w:val="20"/>
          <w:szCs w:val="20"/>
        </w:rPr>
        <w:t>Főjegyzői Iroda</w:t>
      </w:r>
    </w:p>
    <w:p w14:paraId="0B30DAFC" w14:textId="77777777" w:rsidR="00896332" w:rsidRPr="00CB64CC" w:rsidRDefault="00033476" w:rsidP="008963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 xml:space="preserve">cím: 1052 Budapest Városház utca 9-11. </w:t>
      </w:r>
    </w:p>
    <w:p w14:paraId="6C4DB42F" w14:textId="2DB419D7" w:rsidR="00033476" w:rsidRPr="00CB64CC" w:rsidRDefault="00033476" w:rsidP="008963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>Tel</w:t>
      </w:r>
      <w:r w:rsidR="007F7E76">
        <w:rPr>
          <w:rFonts w:ascii="Arial" w:hAnsi="Arial" w:cs="Arial"/>
          <w:sz w:val="20"/>
          <w:szCs w:val="20"/>
        </w:rPr>
        <w:t>efon</w:t>
      </w:r>
      <w:r w:rsidRPr="00CB64CC">
        <w:rPr>
          <w:rFonts w:ascii="Arial" w:hAnsi="Arial" w:cs="Arial"/>
          <w:sz w:val="20"/>
          <w:szCs w:val="20"/>
        </w:rPr>
        <w:t xml:space="preserve">: +361-327-1000 </w:t>
      </w:r>
      <w:r w:rsidR="00896332" w:rsidRPr="00CB64CC">
        <w:rPr>
          <w:rFonts w:ascii="Arial" w:hAnsi="Arial" w:cs="Arial"/>
          <w:sz w:val="20"/>
          <w:szCs w:val="20"/>
        </w:rPr>
        <w:tab/>
      </w:r>
      <w:r w:rsidRPr="00CB64CC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0B57BC" w:rsidRPr="00CB64CC">
          <w:rPr>
            <w:rStyle w:val="Hiperhivatkozs"/>
            <w:rFonts w:ascii="Arial" w:hAnsi="Arial" w:cs="Arial"/>
            <w:sz w:val="20"/>
            <w:szCs w:val="20"/>
          </w:rPr>
          <w:t>ugyfelszolgalat@budapest.hu</w:t>
        </w:r>
      </w:hyperlink>
    </w:p>
    <w:p w14:paraId="7C066994" w14:textId="77777777" w:rsidR="000B57BC" w:rsidRPr="00CB64CC" w:rsidRDefault="000B57BC" w:rsidP="006661CA">
      <w:pPr>
        <w:jc w:val="both"/>
        <w:rPr>
          <w:rFonts w:ascii="Arial" w:hAnsi="Arial" w:cs="Arial"/>
          <w:sz w:val="20"/>
          <w:szCs w:val="20"/>
        </w:rPr>
      </w:pPr>
    </w:p>
    <w:p w14:paraId="1D0D525F" w14:textId="5AB5A59C" w:rsidR="00896332" w:rsidRPr="00CB64CC" w:rsidRDefault="00920E81" w:rsidP="00385C93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CB64CC">
        <w:rPr>
          <w:rFonts w:ascii="Arial" w:hAnsi="Arial" w:cs="Arial"/>
          <w:b/>
          <w:sz w:val="20"/>
          <w:szCs w:val="20"/>
        </w:rPr>
        <w:t>A</w:t>
      </w:r>
      <w:r w:rsidR="00033476" w:rsidRPr="00CB64CC">
        <w:rPr>
          <w:rFonts w:ascii="Arial" w:hAnsi="Arial" w:cs="Arial"/>
          <w:b/>
          <w:sz w:val="20"/>
          <w:szCs w:val="20"/>
        </w:rPr>
        <w:t>datvédelmi tisztviselő elérhetőségei</w:t>
      </w:r>
    </w:p>
    <w:p w14:paraId="231DC6E1" w14:textId="77777777" w:rsidR="00896332" w:rsidRPr="00CB64CC" w:rsidRDefault="00033476" w:rsidP="006661CA">
      <w:pPr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b/>
          <w:sz w:val="20"/>
          <w:szCs w:val="20"/>
        </w:rPr>
        <w:t xml:space="preserve"> </w:t>
      </w:r>
      <w:r w:rsidRPr="00CB64CC">
        <w:rPr>
          <w:rFonts w:ascii="Arial" w:hAnsi="Arial" w:cs="Arial"/>
          <w:sz w:val="20"/>
          <w:szCs w:val="20"/>
        </w:rPr>
        <w:t xml:space="preserve">dr. Molnár Katalin </w:t>
      </w:r>
    </w:p>
    <w:p w14:paraId="48635A56" w14:textId="08D72D1D" w:rsidR="00033476" w:rsidRPr="00CB64CC" w:rsidRDefault="00033476" w:rsidP="006661CA">
      <w:pPr>
        <w:jc w:val="both"/>
        <w:rPr>
          <w:rStyle w:val="Hiperhivatkozs"/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>Tel</w:t>
      </w:r>
      <w:r w:rsidR="007F7E76">
        <w:rPr>
          <w:rFonts w:ascii="Arial" w:hAnsi="Arial" w:cs="Arial"/>
          <w:sz w:val="20"/>
          <w:szCs w:val="20"/>
        </w:rPr>
        <w:t>efon</w:t>
      </w:r>
      <w:r w:rsidRPr="00CB64CC">
        <w:rPr>
          <w:rFonts w:ascii="Arial" w:hAnsi="Arial" w:cs="Arial"/>
          <w:sz w:val="20"/>
          <w:szCs w:val="20"/>
        </w:rPr>
        <w:t xml:space="preserve">: +361-327-1454 </w:t>
      </w:r>
      <w:r w:rsidR="00F351E5" w:rsidRPr="00CB64CC">
        <w:rPr>
          <w:rFonts w:ascii="Arial" w:hAnsi="Arial" w:cs="Arial"/>
          <w:sz w:val="20"/>
          <w:szCs w:val="20"/>
        </w:rPr>
        <w:tab/>
      </w:r>
      <w:r w:rsidR="00F351E5" w:rsidRPr="00CB64CC">
        <w:rPr>
          <w:rFonts w:ascii="Arial" w:hAnsi="Arial" w:cs="Arial"/>
          <w:sz w:val="20"/>
          <w:szCs w:val="20"/>
        </w:rPr>
        <w:tab/>
      </w:r>
      <w:r w:rsidRPr="00CB64CC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0B57BC" w:rsidRPr="00CB64CC">
          <w:rPr>
            <w:rStyle w:val="Hiperhivatkozs"/>
            <w:rFonts w:ascii="Arial" w:hAnsi="Arial" w:cs="Arial"/>
            <w:sz w:val="20"/>
            <w:szCs w:val="20"/>
          </w:rPr>
          <w:t>adatvedelmitisztviselo@budapest.hu</w:t>
        </w:r>
      </w:hyperlink>
    </w:p>
    <w:p w14:paraId="17F387FD" w14:textId="74B4C5E8" w:rsidR="00F351E5" w:rsidRPr="00CB64CC" w:rsidRDefault="00F351E5" w:rsidP="006661CA">
      <w:pPr>
        <w:jc w:val="both"/>
        <w:rPr>
          <w:rStyle w:val="Hiperhivatkozs"/>
          <w:rFonts w:ascii="Arial" w:hAnsi="Arial" w:cs="Arial"/>
          <w:sz w:val="20"/>
          <w:szCs w:val="20"/>
        </w:rPr>
      </w:pPr>
    </w:p>
    <w:p w14:paraId="7E095255" w14:textId="67576CB3" w:rsidR="00F351E5" w:rsidRPr="00386A15" w:rsidRDefault="00F351E5" w:rsidP="00CB64CC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86A15">
        <w:rPr>
          <w:rFonts w:ascii="Arial" w:eastAsia="Calibri" w:hAnsi="Arial" w:cs="Arial"/>
          <w:b/>
          <w:sz w:val="20"/>
          <w:szCs w:val="20"/>
        </w:rPr>
        <w:t>Az adatkezelésre vonatkozó jogszabályok</w:t>
      </w:r>
    </w:p>
    <w:p w14:paraId="46A8892E" w14:textId="77777777" w:rsidR="00F351E5" w:rsidRPr="00CB64CC" w:rsidRDefault="00F351E5" w:rsidP="00F351E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AA37EC1" w14:textId="5940299B" w:rsidR="00F351E5" w:rsidRPr="00CB64CC" w:rsidRDefault="00F351E5" w:rsidP="007F7E76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 xml:space="preserve">az Európai Parlament és </w:t>
      </w:r>
      <w:r w:rsidR="007F7E76">
        <w:rPr>
          <w:rFonts w:ascii="Arial" w:hAnsi="Arial" w:cs="Arial"/>
          <w:sz w:val="20"/>
          <w:szCs w:val="20"/>
        </w:rPr>
        <w:t xml:space="preserve">a </w:t>
      </w:r>
      <w:r w:rsidRPr="00CB64CC">
        <w:rPr>
          <w:rFonts w:ascii="Arial" w:hAnsi="Arial" w:cs="Arial"/>
          <w:sz w:val="20"/>
          <w:szCs w:val="20"/>
        </w:rPr>
        <w:t>Tanács 2016/679. rendelete (2016. április 27.) a természetes személyeknek a személyes adatok kezelése tekintetében történő védelméről és az ilyen adatok szabad áramlásáról, valamint a 95/46/EK irányelv hatályon kívül helyezéséről (általános adatvédelmi rendelet),</w:t>
      </w:r>
    </w:p>
    <w:p w14:paraId="56193CAE" w14:textId="4CD5BF22" w:rsidR="00F351E5" w:rsidRPr="00CB64CC" w:rsidRDefault="00F351E5" w:rsidP="007F7E76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>az információs önrendelkezési jogról és az információszabadságról szóló 2011. évi CXII. törvény</w:t>
      </w:r>
    </w:p>
    <w:p w14:paraId="5AC5D50A" w14:textId="601C6DBD" w:rsidR="00F351E5" w:rsidRPr="00CB64CC" w:rsidRDefault="00F351E5" w:rsidP="007F7E76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CB64CC">
        <w:rPr>
          <w:rFonts w:ascii="Arial" w:hAnsi="Arial" w:cs="Arial"/>
          <w:sz w:val="20"/>
          <w:szCs w:val="20"/>
        </w:rPr>
        <w:t>bírák</w:t>
      </w:r>
      <w:proofErr w:type="spellEnd"/>
      <w:r w:rsidRPr="00CB64CC">
        <w:rPr>
          <w:rFonts w:ascii="Arial" w:hAnsi="Arial" w:cs="Arial"/>
          <w:sz w:val="20"/>
          <w:szCs w:val="20"/>
        </w:rPr>
        <w:t xml:space="preserve"> jogállásáról és javadalmazásáról szóló 2011. évi CLXII. törvény</w:t>
      </w:r>
    </w:p>
    <w:p w14:paraId="1D4E3076" w14:textId="51AEE444" w:rsidR="00F351E5" w:rsidRPr="00CB64CC" w:rsidRDefault="00F351E5" w:rsidP="007F7E76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>a Büntetőeljárásról szóló 2017. évi XC. törvény</w:t>
      </w:r>
    </w:p>
    <w:p w14:paraId="561495B8" w14:textId="0B5413C5" w:rsidR="0050247A" w:rsidRPr="00CB64CC" w:rsidRDefault="0050247A" w:rsidP="006661CA">
      <w:pPr>
        <w:jc w:val="both"/>
        <w:rPr>
          <w:rFonts w:ascii="Arial" w:hAnsi="Arial" w:cs="Arial"/>
          <w:b/>
          <w:sz w:val="20"/>
          <w:szCs w:val="20"/>
        </w:rPr>
      </w:pPr>
    </w:p>
    <w:p w14:paraId="1DDC686B" w14:textId="193F0424" w:rsidR="00896332" w:rsidRPr="00CB64CC" w:rsidRDefault="00920E81" w:rsidP="00CB64CC">
      <w:pPr>
        <w:pStyle w:val="Listaszerbekezds"/>
        <w:numPr>
          <w:ilvl w:val="0"/>
          <w:numId w:val="6"/>
        </w:numPr>
        <w:rPr>
          <w:b/>
        </w:rPr>
      </w:pPr>
      <w:r w:rsidRPr="00CB64CC">
        <w:rPr>
          <w:b/>
        </w:rPr>
        <w:t>A</w:t>
      </w:r>
      <w:r w:rsidR="008863F7" w:rsidRPr="00CB64CC">
        <w:rPr>
          <w:b/>
        </w:rPr>
        <w:t xml:space="preserve"> kezelt adatok köre, az</w:t>
      </w:r>
      <w:r w:rsidR="00722952" w:rsidRPr="00CB64CC">
        <w:rPr>
          <w:b/>
        </w:rPr>
        <w:t xml:space="preserve"> adatkezelés célja és jogalapja</w:t>
      </w:r>
    </w:p>
    <w:tbl>
      <w:tblPr>
        <w:tblStyle w:val="Rcsostblzat1"/>
        <w:tblW w:w="8221" w:type="dxa"/>
        <w:tblInd w:w="846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8863F7" w:rsidRPr="00386A15" w14:paraId="2F39DC85" w14:textId="77777777" w:rsidTr="00D11EA1">
        <w:tc>
          <w:tcPr>
            <w:tcW w:w="3827" w:type="dxa"/>
          </w:tcPr>
          <w:p w14:paraId="2B9EA4B8" w14:textId="77777777" w:rsidR="008863F7" w:rsidRPr="00CB64CC" w:rsidRDefault="008863F7" w:rsidP="008863F7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1" w:name="_Hlk515954951"/>
            <w:r w:rsidRPr="00CB64CC">
              <w:rPr>
                <w:rFonts w:ascii="Arial" w:hAnsi="Arial" w:cs="Arial"/>
                <w:b/>
                <w:sz w:val="20"/>
                <w:szCs w:val="20"/>
                <w:u w:val="single"/>
              </w:rPr>
              <w:t>személyes adat</w:t>
            </w:r>
          </w:p>
        </w:tc>
        <w:tc>
          <w:tcPr>
            <w:tcW w:w="4394" w:type="dxa"/>
          </w:tcPr>
          <w:p w14:paraId="0021E424" w14:textId="77777777" w:rsidR="008863F7" w:rsidRPr="00CB64CC" w:rsidRDefault="008863F7" w:rsidP="008863F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64CC">
              <w:rPr>
                <w:rFonts w:ascii="Arial" w:hAnsi="Arial" w:cs="Arial"/>
                <w:b/>
                <w:sz w:val="20"/>
                <w:szCs w:val="20"/>
                <w:u w:val="single"/>
              </w:rPr>
              <w:t>az adatkezelés célja</w:t>
            </w:r>
          </w:p>
        </w:tc>
      </w:tr>
      <w:tr w:rsidR="001E52D6" w:rsidRPr="00386A15" w14:paraId="4309A827" w14:textId="77777777" w:rsidTr="00AB146B">
        <w:tc>
          <w:tcPr>
            <w:tcW w:w="8221" w:type="dxa"/>
            <w:gridSpan w:val="2"/>
          </w:tcPr>
          <w:p w14:paraId="59CDB0EF" w14:textId="77777777" w:rsidR="001E52D6" w:rsidRPr="00CB64CC" w:rsidRDefault="001E52D6" w:rsidP="001E52D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64CC">
              <w:rPr>
                <w:rFonts w:ascii="Arial" w:hAnsi="Arial" w:cs="Arial"/>
                <w:b/>
                <w:sz w:val="20"/>
                <w:szCs w:val="20"/>
                <w:u w:val="single"/>
              </w:rPr>
              <w:t>ülnökjelölt adatai</w:t>
            </w:r>
          </w:p>
        </w:tc>
      </w:tr>
      <w:tr w:rsidR="008863F7" w:rsidRPr="00386A15" w14:paraId="69F8756B" w14:textId="77777777" w:rsidTr="00D11EA1">
        <w:tc>
          <w:tcPr>
            <w:tcW w:w="3827" w:type="dxa"/>
          </w:tcPr>
          <w:p w14:paraId="6484A626" w14:textId="126F6B75" w:rsidR="008863F7" w:rsidRPr="00CB64CC" w:rsidRDefault="008863F7" w:rsidP="008863F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4394" w:type="dxa"/>
          </w:tcPr>
          <w:p w14:paraId="4FE6F2AB" w14:textId="77777777" w:rsidR="008863F7" w:rsidRPr="00CB64CC" w:rsidRDefault="008863F7" w:rsidP="008863F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a bírósági ülnök jelölt beazonosításához szükséges</w:t>
            </w:r>
          </w:p>
        </w:tc>
      </w:tr>
      <w:tr w:rsidR="008863F7" w:rsidRPr="00386A15" w14:paraId="62565ECC" w14:textId="77777777" w:rsidTr="00D11EA1">
        <w:tc>
          <w:tcPr>
            <w:tcW w:w="3827" w:type="dxa"/>
          </w:tcPr>
          <w:p w14:paraId="7BBD67E7" w14:textId="77777777" w:rsidR="008863F7" w:rsidRPr="00CB64CC" w:rsidRDefault="008863F7" w:rsidP="008863F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születési hely</w:t>
            </w:r>
          </w:p>
        </w:tc>
        <w:tc>
          <w:tcPr>
            <w:tcW w:w="4394" w:type="dxa"/>
          </w:tcPr>
          <w:p w14:paraId="2C48078C" w14:textId="77777777" w:rsidR="008863F7" w:rsidRPr="00CB64CC" w:rsidRDefault="008863F7" w:rsidP="008863F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a bírósági ülnök jelölt beazonosításához szükséges</w:t>
            </w:r>
          </w:p>
        </w:tc>
      </w:tr>
      <w:bookmarkEnd w:id="1"/>
      <w:tr w:rsidR="008863F7" w:rsidRPr="00386A15" w14:paraId="59962FA9" w14:textId="77777777" w:rsidTr="00D11EA1">
        <w:tc>
          <w:tcPr>
            <w:tcW w:w="3827" w:type="dxa"/>
          </w:tcPr>
          <w:p w14:paraId="267FA941" w14:textId="77777777" w:rsidR="008863F7" w:rsidRPr="00CB64CC" w:rsidRDefault="008863F7" w:rsidP="008863F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születési idő</w:t>
            </w:r>
          </w:p>
        </w:tc>
        <w:tc>
          <w:tcPr>
            <w:tcW w:w="4394" w:type="dxa"/>
          </w:tcPr>
          <w:p w14:paraId="0A8CE0BC" w14:textId="1C735A37" w:rsidR="008863F7" w:rsidRPr="00CB64CC" w:rsidRDefault="008863F7" w:rsidP="008863F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a bírósági ülnök</w:t>
            </w:r>
            <w:r w:rsidR="00DE1493" w:rsidRPr="00CB64CC">
              <w:rPr>
                <w:rFonts w:ascii="Arial" w:hAnsi="Arial" w:cs="Arial"/>
                <w:sz w:val="20"/>
                <w:szCs w:val="20"/>
              </w:rPr>
              <w:t>ké</w:t>
            </w:r>
            <w:r w:rsidRPr="00CB6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493" w:rsidRPr="00CB64CC">
              <w:rPr>
                <w:rFonts w:ascii="Arial" w:hAnsi="Arial" w:cs="Arial"/>
                <w:sz w:val="20"/>
                <w:szCs w:val="20"/>
              </w:rPr>
              <w:t xml:space="preserve">jelöléshez a jelölt </w:t>
            </w:r>
            <w:r w:rsidR="006F42AB" w:rsidRPr="00CB64CC">
              <w:rPr>
                <w:rFonts w:ascii="Arial" w:hAnsi="Arial" w:cs="Arial"/>
                <w:sz w:val="20"/>
                <w:szCs w:val="20"/>
              </w:rPr>
              <w:t xml:space="preserve">életkorának ismerete szükséges </w:t>
            </w:r>
          </w:p>
        </w:tc>
      </w:tr>
      <w:tr w:rsidR="008863F7" w:rsidRPr="00386A15" w14:paraId="0B09CF07" w14:textId="77777777" w:rsidTr="00D11EA1">
        <w:tc>
          <w:tcPr>
            <w:tcW w:w="3827" w:type="dxa"/>
          </w:tcPr>
          <w:p w14:paraId="71AF5C67" w14:textId="77777777" w:rsidR="008863F7" w:rsidRPr="00CB64CC" w:rsidRDefault="008863F7" w:rsidP="008863F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lastRenderedPageBreak/>
              <w:t>anyja neve</w:t>
            </w:r>
          </w:p>
        </w:tc>
        <w:tc>
          <w:tcPr>
            <w:tcW w:w="4394" w:type="dxa"/>
          </w:tcPr>
          <w:p w14:paraId="6F78DED7" w14:textId="77777777" w:rsidR="008863F7" w:rsidRPr="00CB64CC" w:rsidRDefault="008863F7" w:rsidP="008863F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a bírósági ülnök jelölt beazonosításához szükséges</w:t>
            </w:r>
          </w:p>
        </w:tc>
      </w:tr>
      <w:tr w:rsidR="008863F7" w:rsidRPr="00386A15" w14:paraId="7F9FCBAA" w14:textId="77777777" w:rsidTr="00D11EA1">
        <w:tc>
          <w:tcPr>
            <w:tcW w:w="3827" w:type="dxa"/>
          </w:tcPr>
          <w:p w14:paraId="1257E8D5" w14:textId="77777777" w:rsidR="008863F7" w:rsidRPr="00CB64CC" w:rsidRDefault="008863F7" w:rsidP="008863F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lakóhely</w:t>
            </w:r>
          </w:p>
        </w:tc>
        <w:tc>
          <w:tcPr>
            <w:tcW w:w="4394" w:type="dxa"/>
          </w:tcPr>
          <w:p w14:paraId="518BEA13" w14:textId="77777777" w:rsidR="008863F7" w:rsidRPr="00CB64CC" w:rsidRDefault="008863F7" w:rsidP="008863F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a bírósági ülnök jelölttel való kapcsolattartás céljából szükséges</w:t>
            </w:r>
          </w:p>
        </w:tc>
      </w:tr>
      <w:tr w:rsidR="00BE145E" w:rsidRPr="00386A15" w14:paraId="6B52115B" w14:textId="77777777" w:rsidTr="00D11EA1">
        <w:tc>
          <w:tcPr>
            <w:tcW w:w="3827" w:type="dxa"/>
          </w:tcPr>
          <w:p w14:paraId="3055471F" w14:textId="77777777" w:rsidR="00BE145E" w:rsidRPr="00CB64CC" w:rsidRDefault="00BE145E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 xml:space="preserve">telefonszám </w:t>
            </w:r>
          </w:p>
        </w:tc>
        <w:tc>
          <w:tcPr>
            <w:tcW w:w="4394" w:type="dxa"/>
          </w:tcPr>
          <w:p w14:paraId="52964E98" w14:textId="77777777" w:rsidR="00BE145E" w:rsidRPr="00CB64CC" w:rsidRDefault="00BE145E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a bírósági ülnök jelölttel való kapcsolattartás céljából szükséges</w:t>
            </w:r>
          </w:p>
        </w:tc>
      </w:tr>
      <w:tr w:rsidR="00BE145E" w:rsidRPr="00386A15" w14:paraId="52CC9DEF" w14:textId="77777777" w:rsidTr="00D11EA1">
        <w:tc>
          <w:tcPr>
            <w:tcW w:w="3827" w:type="dxa"/>
          </w:tcPr>
          <w:p w14:paraId="4670BEBA" w14:textId="77777777" w:rsidR="00BE145E" w:rsidRPr="00CB64CC" w:rsidRDefault="00BE145E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 xml:space="preserve">e-mail cím </w:t>
            </w:r>
          </w:p>
        </w:tc>
        <w:tc>
          <w:tcPr>
            <w:tcW w:w="4394" w:type="dxa"/>
          </w:tcPr>
          <w:p w14:paraId="6E51CA59" w14:textId="77777777" w:rsidR="00BE145E" w:rsidRPr="00CB64CC" w:rsidRDefault="00BE145E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a bírósági ülnök jelölttel való kapcsolattartás céljából szükséges</w:t>
            </w:r>
          </w:p>
        </w:tc>
      </w:tr>
      <w:tr w:rsidR="00BE145E" w:rsidRPr="00386A15" w14:paraId="450038DF" w14:textId="77777777" w:rsidTr="00D11EA1">
        <w:tc>
          <w:tcPr>
            <w:tcW w:w="3827" w:type="dxa"/>
          </w:tcPr>
          <w:p w14:paraId="0ED3BF5B" w14:textId="77777777" w:rsidR="005E6C6D" w:rsidRPr="00CB64CC" w:rsidRDefault="00BE145E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iskolai végzettség</w:t>
            </w:r>
            <w:r w:rsidR="005E6C6D" w:rsidRPr="00CB64C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60BE41" w14:textId="77777777" w:rsidR="00BE145E" w:rsidRPr="00CB64CC" w:rsidRDefault="005E6C6D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 xml:space="preserve">szakképzettség, </w:t>
            </w:r>
          </w:p>
          <w:p w14:paraId="566FA64B" w14:textId="77777777" w:rsidR="005E6C6D" w:rsidRPr="00CB64CC" w:rsidRDefault="005E6C6D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foglalkozás,</w:t>
            </w:r>
          </w:p>
          <w:p w14:paraId="144B6DA1" w14:textId="77777777" w:rsidR="005E6C6D" w:rsidRPr="00CB64CC" w:rsidRDefault="005E6C6D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munkahely neve</w:t>
            </w:r>
          </w:p>
        </w:tc>
        <w:tc>
          <w:tcPr>
            <w:tcW w:w="4394" w:type="dxa"/>
          </w:tcPr>
          <w:p w14:paraId="0DE27DC9" w14:textId="36CDCB49" w:rsidR="00BE145E" w:rsidRPr="00CB64CC" w:rsidRDefault="005E6C6D" w:rsidP="00385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 xml:space="preserve"> A fiatalkorú elleni büntetőeljárásban </w:t>
            </w:r>
            <w:r w:rsidR="00C42710" w:rsidRPr="00CB64CC">
              <w:rPr>
                <w:rFonts w:ascii="Arial" w:hAnsi="Arial" w:cs="Arial"/>
                <w:sz w:val="20"/>
                <w:szCs w:val="20"/>
              </w:rPr>
              <w:t xml:space="preserve">bírósági </w:t>
            </w:r>
            <w:r w:rsidRPr="00CB64CC">
              <w:rPr>
                <w:rFonts w:ascii="Arial" w:hAnsi="Arial" w:cs="Arial"/>
                <w:sz w:val="20"/>
                <w:szCs w:val="20"/>
              </w:rPr>
              <w:t>ülnökként a</w:t>
            </w:r>
            <w:r w:rsidR="00BE145E" w:rsidRPr="00CB64CC">
              <w:rPr>
                <w:rFonts w:ascii="Arial" w:hAnsi="Arial" w:cs="Arial"/>
                <w:sz w:val="20"/>
                <w:szCs w:val="20"/>
              </w:rPr>
              <w:t xml:space="preserve"> Büntetőeljárásról szóló 2017. évi XC. törvény 680. § (5) bekezdés</w:t>
            </w:r>
            <w:r w:rsidR="0084685D" w:rsidRPr="00CB64CC">
              <w:rPr>
                <w:rFonts w:ascii="Arial" w:hAnsi="Arial" w:cs="Arial"/>
                <w:sz w:val="20"/>
                <w:szCs w:val="20"/>
              </w:rPr>
              <w:t>ében meghatározott</w:t>
            </w:r>
            <w:r w:rsidR="00BE145E" w:rsidRPr="00CB6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710" w:rsidRPr="00CB64CC">
              <w:rPr>
                <w:rFonts w:ascii="Arial" w:hAnsi="Arial" w:cs="Arial"/>
                <w:sz w:val="20"/>
                <w:szCs w:val="20"/>
              </w:rPr>
              <w:t xml:space="preserve">végzettségű, foglalkozású, munkakörrel rendelkező </w:t>
            </w:r>
            <w:r w:rsidR="00516210" w:rsidRPr="00CB64CC">
              <w:rPr>
                <w:rFonts w:ascii="Arial" w:hAnsi="Arial" w:cs="Arial"/>
                <w:sz w:val="20"/>
                <w:szCs w:val="20"/>
              </w:rPr>
              <w:t xml:space="preserve">vagy korábban rendelkező </w:t>
            </w:r>
            <w:r w:rsidR="00BE145E" w:rsidRPr="00CB64CC">
              <w:rPr>
                <w:rFonts w:ascii="Arial" w:hAnsi="Arial" w:cs="Arial"/>
                <w:sz w:val="20"/>
                <w:szCs w:val="20"/>
              </w:rPr>
              <w:t xml:space="preserve">személy vehet részt. E törvényi feltétel meglétének ellenőrzése </w:t>
            </w:r>
            <w:r w:rsidR="003C57F5" w:rsidRPr="00CB64CC">
              <w:rPr>
                <w:rFonts w:ascii="Arial" w:hAnsi="Arial" w:cs="Arial"/>
                <w:sz w:val="20"/>
                <w:szCs w:val="20"/>
              </w:rPr>
              <w:t>céljából</w:t>
            </w:r>
            <w:r w:rsidR="00BE145E" w:rsidRPr="00CB64CC">
              <w:rPr>
                <w:rFonts w:ascii="Arial" w:hAnsi="Arial" w:cs="Arial"/>
                <w:sz w:val="20"/>
                <w:szCs w:val="20"/>
              </w:rPr>
              <w:t xml:space="preserve"> szükséges az adat</w:t>
            </w:r>
            <w:r w:rsidR="00C42710" w:rsidRPr="00CB64CC">
              <w:rPr>
                <w:rFonts w:ascii="Arial" w:hAnsi="Arial" w:cs="Arial"/>
                <w:sz w:val="20"/>
                <w:szCs w:val="20"/>
              </w:rPr>
              <w:t>ok</w:t>
            </w:r>
            <w:r w:rsidR="00BE145E" w:rsidRPr="00CB64CC">
              <w:rPr>
                <w:rFonts w:ascii="Arial" w:hAnsi="Arial" w:cs="Arial"/>
                <w:sz w:val="20"/>
                <w:szCs w:val="20"/>
              </w:rPr>
              <w:t xml:space="preserve"> megadása.</w:t>
            </w:r>
          </w:p>
        </w:tc>
      </w:tr>
      <w:tr w:rsidR="00BE145E" w:rsidRPr="00386A15" w14:paraId="262824A9" w14:textId="77777777" w:rsidTr="00D11EA1">
        <w:tc>
          <w:tcPr>
            <w:tcW w:w="3827" w:type="dxa"/>
          </w:tcPr>
          <w:p w14:paraId="1DAFB3BD" w14:textId="77777777" w:rsidR="00BE145E" w:rsidRPr="00CB64CC" w:rsidRDefault="00BE145E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egy hónapra járó távolléti díj összege</w:t>
            </w:r>
          </w:p>
        </w:tc>
        <w:tc>
          <w:tcPr>
            <w:tcW w:w="4394" w:type="dxa"/>
          </w:tcPr>
          <w:p w14:paraId="788F226A" w14:textId="77777777" w:rsidR="00BE145E" w:rsidRPr="00CB64CC" w:rsidRDefault="00636E54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A</w:t>
            </w:r>
            <w:r w:rsidR="00C42710" w:rsidRPr="00CB64CC">
              <w:rPr>
                <w:rFonts w:ascii="Arial" w:hAnsi="Arial" w:cs="Arial"/>
                <w:sz w:val="20"/>
                <w:szCs w:val="20"/>
              </w:rPr>
              <w:t xml:space="preserve"> bírósági</w:t>
            </w:r>
            <w:r w:rsidRPr="00CB64CC">
              <w:rPr>
                <w:rFonts w:ascii="Arial" w:hAnsi="Arial" w:cs="Arial"/>
                <w:sz w:val="20"/>
                <w:szCs w:val="20"/>
              </w:rPr>
              <w:t xml:space="preserve"> ülnököt ülnöki működésének időtartamára </w:t>
            </w:r>
            <w:r w:rsidR="00816558" w:rsidRPr="00CB64CC">
              <w:rPr>
                <w:rFonts w:ascii="Arial" w:hAnsi="Arial" w:cs="Arial"/>
                <w:sz w:val="20"/>
                <w:szCs w:val="20"/>
              </w:rPr>
              <w:t xml:space="preserve">(napokra) </w:t>
            </w:r>
            <w:r w:rsidRPr="00CB64CC">
              <w:rPr>
                <w:rFonts w:ascii="Arial" w:hAnsi="Arial" w:cs="Arial"/>
                <w:sz w:val="20"/>
                <w:szCs w:val="20"/>
              </w:rPr>
              <w:t>a távolléti díja illeti meg. E</w:t>
            </w:r>
            <w:r w:rsidR="00BE145E" w:rsidRPr="00CB64CC">
              <w:rPr>
                <w:rFonts w:ascii="Arial" w:hAnsi="Arial" w:cs="Arial"/>
                <w:sz w:val="20"/>
                <w:szCs w:val="20"/>
              </w:rPr>
              <w:t>zen összeg megállapításához szükséges az egy hónapra járó távolléti díj összegének megadása.</w:t>
            </w:r>
          </w:p>
        </w:tc>
      </w:tr>
      <w:tr w:rsidR="00BE145E" w:rsidRPr="00386A15" w14:paraId="5042DDFF" w14:textId="77777777" w:rsidTr="00D11EA1">
        <w:tc>
          <w:tcPr>
            <w:tcW w:w="3827" w:type="dxa"/>
          </w:tcPr>
          <w:p w14:paraId="6D132D73" w14:textId="3BAEC6AE" w:rsidR="00BE145E" w:rsidRPr="00CB64CC" w:rsidRDefault="00BE145E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 xml:space="preserve">büntetlen előélet, </w:t>
            </w:r>
            <w:r w:rsidR="00995227" w:rsidRPr="00CB64CC">
              <w:rPr>
                <w:rFonts w:ascii="Arial" w:hAnsi="Arial" w:cs="Arial"/>
                <w:sz w:val="20"/>
                <w:szCs w:val="20"/>
              </w:rPr>
              <w:t xml:space="preserve">nem áll </w:t>
            </w:r>
            <w:r w:rsidRPr="00CB64CC">
              <w:rPr>
                <w:rFonts w:ascii="Arial" w:hAnsi="Arial" w:cs="Arial"/>
                <w:sz w:val="20"/>
                <w:szCs w:val="20"/>
              </w:rPr>
              <w:t>cselekvőképességet érintő gondnokság vagy támogatott döntéshozatal</w:t>
            </w:r>
            <w:r w:rsidR="00995227" w:rsidRPr="00CB64CC">
              <w:rPr>
                <w:rFonts w:ascii="Arial" w:hAnsi="Arial" w:cs="Arial"/>
                <w:sz w:val="20"/>
                <w:szCs w:val="20"/>
              </w:rPr>
              <w:t xml:space="preserve"> és</w:t>
            </w:r>
            <w:r w:rsidRPr="00CB64CC">
              <w:rPr>
                <w:rFonts w:ascii="Arial" w:hAnsi="Arial" w:cs="Arial"/>
                <w:sz w:val="20"/>
                <w:szCs w:val="20"/>
              </w:rPr>
              <w:t xml:space="preserve"> közügyektől eltiltás hatálya alatt  </w:t>
            </w:r>
          </w:p>
        </w:tc>
        <w:tc>
          <w:tcPr>
            <w:tcW w:w="4394" w:type="dxa"/>
          </w:tcPr>
          <w:p w14:paraId="13C38E9D" w14:textId="0FFC76B4" w:rsidR="00BE145E" w:rsidRPr="00CB64CC" w:rsidRDefault="00995227" w:rsidP="00BE145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bCs/>
                <w:sz w:val="20"/>
                <w:szCs w:val="20"/>
              </w:rPr>
              <w:t>Csak olyan személy választható meg bírósági ülnöknek</w:t>
            </w:r>
            <w:r w:rsidR="00383DB8" w:rsidRPr="00CB64CC">
              <w:rPr>
                <w:rFonts w:ascii="Arial" w:hAnsi="Arial" w:cs="Arial"/>
                <w:bCs/>
                <w:sz w:val="20"/>
                <w:szCs w:val="20"/>
              </w:rPr>
              <w:t>, aki ezen törvényi feltételeknek megfelel.</w:t>
            </w:r>
          </w:p>
        </w:tc>
      </w:tr>
    </w:tbl>
    <w:p w14:paraId="304B6BFC" w14:textId="77777777" w:rsidR="008863F7" w:rsidRPr="00CB64CC" w:rsidRDefault="008863F7" w:rsidP="006661C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1"/>
        <w:tblW w:w="8221" w:type="dxa"/>
        <w:tblInd w:w="846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1E52D6" w:rsidRPr="00386A15" w14:paraId="4BBCAD11" w14:textId="77777777" w:rsidTr="00D11EA1">
        <w:tc>
          <w:tcPr>
            <w:tcW w:w="3827" w:type="dxa"/>
          </w:tcPr>
          <w:p w14:paraId="587A6F0C" w14:textId="77777777" w:rsidR="001E52D6" w:rsidRPr="00CB64CC" w:rsidRDefault="001E52D6" w:rsidP="00D11EA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64CC">
              <w:rPr>
                <w:rFonts w:ascii="Arial" w:hAnsi="Arial" w:cs="Arial"/>
                <w:b/>
                <w:sz w:val="20"/>
                <w:szCs w:val="20"/>
                <w:u w:val="single"/>
              </w:rPr>
              <w:t>személyes adat</w:t>
            </w:r>
          </w:p>
        </w:tc>
        <w:tc>
          <w:tcPr>
            <w:tcW w:w="4394" w:type="dxa"/>
          </w:tcPr>
          <w:p w14:paraId="6C030AA8" w14:textId="77777777" w:rsidR="001E52D6" w:rsidRPr="00CB64CC" w:rsidRDefault="001E52D6" w:rsidP="00D11EA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64CC">
              <w:rPr>
                <w:rFonts w:ascii="Arial" w:hAnsi="Arial" w:cs="Arial"/>
                <w:b/>
                <w:sz w:val="20"/>
                <w:szCs w:val="20"/>
                <w:u w:val="single"/>
              </w:rPr>
              <w:t>az adatkezelés célja</w:t>
            </w:r>
          </w:p>
        </w:tc>
      </w:tr>
      <w:tr w:rsidR="001E52D6" w:rsidRPr="00386A15" w14:paraId="0E6CD0B7" w14:textId="77777777" w:rsidTr="00D11EA1">
        <w:tc>
          <w:tcPr>
            <w:tcW w:w="8221" w:type="dxa"/>
            <w:gridSpan w:val="2"/>
          </w:tcPr>
          <w:p w14:paraId="20483D85" w14:textId="77777777" w:rsidR="001E52D6" w:rsidRPr="00CB64CC" w:rsidRDefault="001E52D6" w:rsidP="00D11EA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64CC">
              <w:rPr>
                <w:rFonts w:ascii="Arial" w:hAnsi="Arial" w:cs="Arial"/>
                <w:b/>
                <w:sz w:val="20"/>
                <w:szCs w:val="20"/>
                <w:u w:val="single"/>
              </w:rPr>
              <w:t>jelölő adatai</w:t>
            </w:r>
          </w:p>
        </w:tc>
      </w:tr>
      <w:tr w:rsidR="001E52D6" w:rsidRPr="00386A15" w14:paraId="4A998995" w14:textId="77777777" w:rsidTr="00D11EA1">
        <w:tc>
          <w:tcPr>
            <w:tcW w:w="3827" w:type="dxa"/>
          </w:tcPr>
          <w:p w14:paraId="7F8FB533" w14:textId="77777777" w:rsidR="001E52D6" w:rsidRPr="00CB64CC" w:rsidRDefault="001E52D6" w:rsidP="00D11EA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4394" w:type="dxa"/>
          </w:tcPr>
          <w:p w14:paraId="4727529F" w14:textId="77777777" w:rsidR="001E52D6" w:rsidRPr="00CB64CC" w:rsidRDefault="00BE145E" w:rsidP="00D11EA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a jelölő beazonosításához szükséges</w:t>
            </w:r>
          </w:p>
        </w:tc>
      </w:tr>
      <w:tr w:rsidR="001E52D6" w:rsidRPr="00386A15" w14:paraId="2DCAB1DB" w14:textId="77777777" w:rsidTr="00D11EA1">
        <w:tc>
          <w:tcPr>
            <w:tcW w:w="3827" w:type="dxa"/>
          </w:tcPr>
          <w:p w14:paraId="7F400193" w14:textId="77777777" w:rsidR="001E52D6" w:rsidRPr="00CB64CC" w:rsidRDefault="00BE145E" w:rsidP="00D11EA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 xml:space="preserve">cím </w:t>
            </w:r>
          </w:p>
        </w:tc>
        <w:tc>
          <w:tcPr>
            <w:tcW w:w="4394" w:type="dxa"/>
          </w:tcPr>
          <w:p w14:paraId="55896C8C" w14:textId="6362A04B" w:rsidR="00636E54" w:rsidRPr="00CB64CC" w:rsidRDefault="00CB3773" w:rsidP="00CB6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proofErr w:type="spellStart"/>
            <w:r w:rsidRPr="00CB64CC">
              <w:rPr>
                <w:rFonts w:ascii="Arial" w:hAnsi="Arial" w:cs="Arial"/>
                <w:bCs/>
                <w:sz w:val="20"/>
                <w:szCs w:val="20"/>
              </w:rPr>
              <w:t>bírák</w:t>
            </w:r>
            <w:proofErr w:type="spellEnd"/>
            <w:r w:rsidRPr="00CB64CC">
              <w:rPr>
                <w:rFonts w:ascii="Arial" w:hAnsi="Arial" w:cs="Arial"/>
                <w:bCs/>
                <w:sz w:val="20"/>
                <w:szCs w:val="20"/>
              </w:rPr>
              <w:t xml:space="preserve"> jogállásáról és javadalmazásáról szóló 2011. évi CLXII. törvény </w:t>
            </w:r>
            <w:r w:rsidRPr="00CB64CC">
              <w:rPr>
                <w:rFonts w:ascii="Arial" w:hAnsi="Arial" w:cs="Arial"/>
                <w:sz w:val="20"/>
                <w:szCs w:val="20"/>
              </w:rPr>
              <w:t xml:space="preserve">213. §-a </w:t>
            </w:r>
            <w:r w:rsidR="008569B4" w:rsidRPr="00CB64CC">
              <w:rPr>
                <w:rFonts w:ascii="Arial" w:hAnsi="Arial" w:cs="Arial"/>
                <w:sz w:val="20"/>
                <w:szCs w:val="20"/>
              </w:rPr>
              <w:t>alapján</w:t>
            </w:r>
            <w:r w:rsidRPr="00CB64CC">
              <w:rPr>
                <w:rFonts w:ascii="Arial" w:hAnsi="Arial" w:cs="Arial"/>
                <w:sz w:val="20"/>
                <w:szCs w:val="20"/>
              </w:rPr>
              <w:t xml:space="preserve"> a jelölő</w:t>
            </w:r>
            <w:r w:rsidR="004414AA" w:rsidRPr="00CB6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9B4" w:rsidRPr="00CB64C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414AA" w:rsidRPr="00CB64CC">
              <w:rPr>
                <w:rFonts w:ascii="Arial" w:hAnsi="Arial" w:cs="Arial"/>
                <w:sz w:val="20"/>
                <w:szCs w:val="20"/>
              </w:rPr>
              <w:t>bíróság illetékességi területén lakóhellyel rendelkező személy vagy működő szervezet</w:t>
            </w:r>
            <w:r w:rsidR="00516210" w:rsidRPr="00CB64CC">
              <w:rPr>
                <w:rFonts w:ascii="Arial" w:hAnsi="Arial" w:cs="Arial"/>
                <w:sz w:val="20"/>
                <w:szCs w:val="20"/>
              </w:rPr>
              <w:t>(tantestület)</w:t>
            </w:r>
            <w:r w:rsidR="004414AA" w:rsidRPr="00CB64CC">
              <w:rPr>
                <w:rFonts w:ascii="Arial" w:hAnsi="Arial" w:cs="Arial"/>
                <w:sz w:val="20"/>
                <w:szCs w:val="20"/>
              </w:rPr>
              <w:t xml:space="preserve"> lehet.</w:t>
            </w:r>
            <w:r w:rsidRPr="00CB6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4AA" w:rsidRPr="00CB64CC">
              <w:rPr>
                <w:rFonts w:ascii="Arial" w:hAnsi="Arial" w:cs="Arial"/>
                <w:sz w:val="20"/>
                <w:szCs w:val="20"/>
              </w:rPr>
              <w:t xml:space="preserve">A cím megadása szükséges annak ellenőrzése céljából, hogy </w:t>
            </w:r>
            <w:r w:rsidR="00636E54" w:rsidRPr="00CB64CC">
              <w:rPr>
                <w:rFonts w:ascii="Arial" w:hAnsi="Arial" w:cs="Arial"/>
                <w:sz w:val="20"/>
                <w:szCs w:val="20"/>
              </w:rPr>
              <w:t>a jelölők jogosultak-e a jelöltállításra.</w:t>
            </w:r>
            <w:r w:rsidR="00483EC8" w:rsidRPr="00CB64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16125A" w14:textId="77777777" w:rsidR="00636E54" w:rsidRPr="00CB64CC" w:rsidRDefault="00636E54" w:rsidP="00D11EA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58" w:rsidRPr="00386A15" w14:paraId="30C277F4" w14:textId="77777777" w:rsidTr="00D11EA1">
        <w:tc>
          <w:tcPr>
            <w:tcW w:w="3827" w:type="dxa"/>
          </w:tcPr>
          <w:p w14:paraId="5415EA03" w14:textId="77777777" w:rsidR="00816558" w:rsidRPr="00CB64CC" w:rsidRDefault="00816558" w:rsidP="00D11EA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 xml:space="preserve">állampolgárság </w:t>
            </w:r>
          </w:p>
        </w:tc>
        <w:tc>
          <w:tcPr>
            <w:tcW w:w="4394" w:type="dxa"/>
          </w:tcPr>
          <w:p w14:paraId="67BF4B8E" w14:textId="77777777" w:rsidR="00816558" w:rsidRPr="00CB64CC" w:rsidRDefault="004414AA" w:rsidP="00CB64C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64CC">
              <w:rPr>
                <w:rFonts w:ascii="Arial" w:hAnsi="Arial" w:cs="Arial"/>
                <w:bCs/>
                <w:sz w:val="20"/>
                <w:szCs w:val="20"/>
              </w:rPr>
              <w:t>Jelölő magyar állampolgár lehet</w:t>
            </w:r>
            <w:r w:rsidR="00516210" w:rsidRPr="00CB64CC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="00516210" w:rsidRPr="00CB64CC">
              <w:rPr>
                <w:rFonts w:ascii="Arial" w:hAnsi="Arial" w:cs="Arial"/>
                <w:bCs/>
                <w:sz w:val="20"/>
                <w:szCs w:val="20"/>
              </w:rPr>
              <w:t>bírák</w:t>
            </w:r>
            <w:proofErr w:type="spellEnd"/>
            <w:r w:rsidR="00516210" w:rsidRPr="00CB64CC">
              <w:rPr>
                <w:rFonts w:ascii="Arial" w:hAnsi="Arial" w:cs="Arial"/>
                <w:bCs/>
                <w:sz w:val="20"/>
                <w:szCs w:val="20"/>
              </w:rPr>
              <w:t xml:space="preserve"> jogállásáról és javadalmazásáról szóló 2011. évi CLXII. törvény 213. §-a szerint</w:t>
            </w:r>
            <w:r w:rsidRPr="00CB64CC">
              <w:rPr>
                <w:rFonts w:ascii="Arial" w:hAnsi="Arial" w:cs="Arial"/>
                <w:bCs/>
                <w:sz w:val="20"/>
                <w:szCs w:val="20"/>
              </w:rPr>
              <w:t>, ezért</w:t>
            </w:r>
            <w:r w:rsidR="00816558" w:rsidRPr="00CB64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B64CC">
              <w:rPr>
                <w:rFonts w:ascii="Arial" w:hAnsi="Arial" w:cs="Arial"/>
                <w:bCs/>
                <w:sz w:val="20"/>
                <w:szCs w:val="20"/>
              </w:rPr>
              <w:t>szükséges megadni a jelölő állampolgárságát.</w:t>
            </w:r>
          </w:p>
        </w:tc>
      </w:tr>
      <w:tr w:rsidR="00816558" w:rsidRPr="00386A15" w14:paraId="46BFA566" w14:textId="77777777" w:rsidTr="00D11EA1">
        <w:tc>
          <w:tcPr>
            <w:tcW w:w="3827" w:type="dxa"/>
          </w:tcPr>
          <w:p w14:paraId="2F809EAA" w14:textId="77777777" w:rsidR="00816558" w:rsidRPr="00CB64CC" w:rsidRDefault="00816558" w:rsidP="00D11EA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születési idő</w:t>
            </w:r>
          </w:p>
        </w:tc>
        <w:tc>
          <w:tcPr>
            <w:tcW w:w="4394" w:type="dxa"/>
          </w:tcPr>
          <w:p w14:paraId="74539D1F" w14:textId="77777777" w:rsidR="00816558" w:rsidRPr="00CB64CC" w:rsidRDefault="004414AA" w:rsidP="00CB64C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64CC">
              <w:rPr>
                <w:rFonts w:ascii="Arial" w:hAnsi="Arial" w:cs="Arial"/>
                <w:bCs/>
                <w:sz w:val="20"/>
                <w:szCs w:val="20"/>
              </w:rPr>
              <w:t xml:space="preserve">A jelölő nagykorú </w:t>
            </w:r>
            <w:r w:rsidR="00516210" w:rsidRPr="00CB64CC">
              <w:rPr>
                <w:rFonts w:ascii="Arial" w:hAnsi="Arial" w:cs="Arial"/>
                <w:bCs/>
                <w:sz w:val="20"/>
                <w:szCs w:val="20"/>
              </w:rPr>
              <w:t>személy</w:t>
            </w:r>
            <w:r w:rsidRPr="00CB64CC">
              <w:rPr>
                <w:rFonts w:ascii="Arial" w:hAnsi="Arial" w:cs="Arial"/>
                <w:bCs/>
                <w:sz w:val="20"/>
                <w:szCs w:val="20"/>
              </w:rPr>
              <w:t xml:space="preserve"> lehet</w:t>
            </w:r>
            <w:r w:rsidR="00516210" w:rsidRPr="00CB64CC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="00516210" w:rsidRPr="00CB64CC">
              <w:rPr>
                <w:rFonts w:ascii="Arial" w:hAnsi="Arial" w:cs="Arial"/>
                <w:bCs/>
                <w:sz w:val="20"/>
                <w:szCs w:val="20"/>
              </w:rPr>
              <w:t>bírák</w:t>
            </w:r>
            <w:proofErr w:type="spellEnd"/>
            <w:r w:rsidR="00516210" w:rsidRPr="00CB64CC">
              <w:rPr>
                <w:rFonts w:ascii="Arial" w:hAnsi="Arial" w:cs="Arial"/>
                <w:bCs/>
                <w:sz w:val="20"/>
                <w:szCs w:val="20"/>
              </w:rPr>
              <w:t xml:space="preserve"> jogállásáról és javadalmazásáról szóló 2011. évi CLXII. törvény 213. §-a szerint</w:t>
            </w:r>
            <w:r w:rsidRPr="00CB64CC">
              <w:rPr>
                <w:rFonts w:ascii="Arial" w:hAnsi="Arial" w:cs="Arial"/>
                <w:bCs/>
                <w:sz w:val="20"/>
                <w:szCs w:val="20"/>
              </w:rPr>
              <w:t>, ezért szükséges megadni a jelölő születési idejét.</w:t>
            </w:r>
          </w:p>
        </w:tc>
      </w:tr>
      <w:tr w:rsidR="006F42AB" w:rsidRPr="00386A15" w14:paraId="25C8872C" w14:textId="77777777" w:rsidTr="00D11EA1">
        <w:tc>
          <w:tcPr>
            <w:tcW w:w="3827" w:type="dxa"/>
          </w:tcPr>
          <w:p w14:paraId="41390CB3" w14:textId="77777777" w:rsidR="006F42AB" w:rsidRPr="00CB64CC" w:rsidRDefault="006F42AB" w:rsidP="00D11EA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 xml:space="preserve">telefonszám </w:t>
            </w:r>
          </w:p>
        </w:tc>
        <w:tc>
          <w:tcPr>
            <w:tcW w:w="4394" w:type="dxa"/>
          </w:tcPr>
          <w:p w14:paraId="44A91647" w14:textId="77777777" w:rsidR="006F42AB" w:rsidRPr="00CB64CC" w:rsidRDefault="004414AA" w:rsidP="00CB64C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64CC">
              <w:rPr>
                <w:rFonts w:ascii="Arial" w:hAnsi="Arial" w:cs="Arial"/>
                <w:sz w:val="20"/>
                <w:szCs w:val="20"/>
              </w:rPr>
              <w:t>A</w:t>
            </w:r>
            <w:r w:rsidR="006F42AB" w:rsidRPr="00CB64CC">
              <w:rPr>
                <w:rFonts w:ascii="Arial" w:hAnsi="Arial" w:cs="Arial"/>
                <w:sz w:val="20"/>
                <w:szCs w:val="20"/>
              </w:rPr>
              <w:t xml:space="preserve"> jelölőkkel való kapcsolattartás céljából szükséges</w:t>
            </w:r>
          </w:p>
        </w:tc>
      </w:tr>
    </w:tbl>
    <w:p w14:paraId="2EC470C0" w14:textId="13295261" w:rsidR="00DB51E0" w:rsidRDefault="00DB51E0" w:rsidP="00666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személyes adatokat az érintettől vagy a jelölőtől kapjuk meg. </w:t>
      </w:r>
    </w:p>
    <w:p w14:paraId="5B54AB57" w14:textId="6DD5665A" w:rsidR="00EB5C00" w:rsidRPr="001B2723" w:rsidRDefault="008118C5" w:rsidP="006661CA">
      <w:pPr>
        <w:jc w:val="both"/>
        <w:rPr>
          <w:rFonts w:ascii="Arial" w:hAnsi="Arial" w:cs="Arial"/>
          <w:sz w:val="20"/>
          <w:szCs w:val="20"/>
        </w:rPr>
      </w:pPr>
      <w:r w:rsidRPr="001B2723">
        <w:rPr>
          <w:rFonts w:ascii="Arial" w:hAnsi="Arial" w:cs="Arial"/>
          <w:sz w:val="20"/>
          <w:szCs w:val="20"/>
        </w:rPr>
        <w:t xml:space="preserve">A megválasztott ülnökökről névjegyzék készül, valamint megbízólevél kerül kiállításra. </w:t>
      </w:r>
    </w:p>
    <w:p w14:paraId="14C0FAC9" w14:textId="25FFA474" w:rsidR="00896332" w:rsidRPr="00CB64CC" w:rsidRDefault="00920E81" w:rsidP="006661CA">
      <w:pPr>
        <w:jc w:val="both"/>
        <w:rPr>
          <w:rFonts w:ascii="Arial" w:hAnsi="Arial" w:cs="Arial"/>
          <w:b/>
          <w:sz w:val="20"/>
          <w:szCs w:val="20"/>
        </w:rPr>
      </w:pPr>
      <w:r w:rsidRPr="00CB64CC">
        <w:rPr>
          <w:rFonts w:ascii="Arial" w:hAnsi="Arial" w:cs="Arial"/>
          <w:b/>
          <w:sz w:val="20"/>
          <w:szCs w:val="20"/>
        </w:rPr>
        <w:t>A</w:t>
      </w:r>
      <w:r w:rsidR="00033476" w:rsidRPr="00CB64CC">
        <w:rPr>
          <w:rFonts w:ascii="Arial" w:hAnsi="Arial" w:cs="Arial"/>
          <w:b/>
          <w:sz w:val="20"/>
          <w:szCs w:val="20"/>
        </w:rPr>
        <w:t xml:space="preserve">z adatkezelés jogalapja </w:t>
      </w:r>
    </w:p>
    <w:p w14:paraId="3BF755DA" w14:textId="440B85B6" w:rsidR="00DE1493" w:rsidRPr="00CB64CC" w:rsidRDefault="00A62CD5" w:rsidP="00A62CD5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B64CC">
        <w:rPr>
          <w:rFonts w:ascii="Arial" w:hAnsi="Arial" w:cs="Arial"/>
          <w:bCs/>
          <w:sz w:val="20"/>
          <w:szCs w:val="20"/>
        </w:rPr>
        <w:t>A</w:t>
      </w:r>
      <w:r w:rsidR="00623EE3" w:rsidRPr="00CB64C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64CC">
        <w:rPr>
          <w:rFonts w:ascii="Arial" w:hAnsi="Arial" w:cs="Arial"/>
          <w:bCs/>
          <w:sz w:val="20"/>
          <w:szCs w:val="20"/>
        </w:rPr>
        <w:t>bírák</w:t>
      </w:r>
      <w:proofErr w:type="spellEnd"/>
      <w:r w:rsidRPr="00CB64CC">
        <w:rPr>
          <w:rFonts w:ascii="Arial" w:hAnsi="Arial" w:cs="Arial"/>
          <w:bCs/>
          <w:sz w:val="20"/>
          <w:szCs w:val="20"/>
        </w:rPr>
        <w:t xml:space="preserve"> jogállásáról és javadalmazásáról szóló 2011. évi CLXII. </w:t>
      </w:r>
      <w:r w:rsidR="0009100D" w:rsidRPr="00CB64CC">
        <w:rPr>
          <w:rFonts w:ascii="Arial" w:hAnsi="Arial" w:cs="Arial"/>
          <w:bCs/>
          <w:sz w:val="20"/>
          <w:szCs w:val="20"/>
        </w:rPr>
        <w:t xml:space="preserve"> </w:t>
      </w:r>
      <w:r w:rsidRPr="00CB64CC">
        <w:rPr>
          <w:rFonts w:ascii="Arial" w:hAnsi="Arial" w:cs="Arial"/>
          <w:bCs/>
          <w:sz w:val="20"/>
          <w:szCs w:val="20"/>
        </w:rPr>
        <w:t xml:space="preserve">törvény </w:t>
      </w:r>
      <w:r w:rsidR="00920E81" w:rsidRPr="00CB64CC">
        <w:rPr>
          <w:rFonts w:ascii="Arial" w:hAnsi="Arial" w:cs="Arial"/>
          <w:sz w:val="20"/>
          <w:szCs w:val="20"/>
        </w:rPr>
        <w:t>212-215. §-</w:t>
      </w:r>
      <w:proofErr w:type="spellStart"/>
      <w:r w:rsidR="00920E81" w:rsidRPr="00CB64CC">
        <w:rPr>
          <w:rFonts w:ascii="Arial" w:hAnsi="Arial" w:cs="Arial"/>
          <w:sz w:val="20"/>
          <w:szCs w:val="20"/>
        </w:rPr>
        <w:t>ai</w:t>
      </w:r>
      <w:proofErr w:type="spellEnd"/>
      <w:r w:rsidR="00920E81" w:rsidRPr="00CB64CC">
        <w:rPr>
          <w:rFonts w:ascii="Arial" w:hAnsi="Arial" w:cs="Arial"/>
          <w:sz w:val="20"/>
          <w:szCs w:val="20"/>
        </w:rPr>
        <w:t xml:space="preserve"> és a Büntetőeljárásról szóló 2017. évi XC. törvény 680. § (5) bekezdés </w:t>
      </w:r>
      <w:r w:rsidR="009E130D" w:rsidRPr="00CB64CC">
        <w:rPr>
          <w:rFonts w:ascii="Arial" w:hAnsi="Arial" w:cs="Arial"/>
          <w:sz w:val="20"/>
          <w:szCs w:val="20"/>
        </w:rPr>
        <w:t>e</w:t>
      </w:r>
      <w:r w:rsidR="00920E81" w:rsidRPr="00CB64CC">
        <w:rPr>
          <w:rFonts w:ascii="Arial" w:hAnsi="Arial" w:cs="Arial"/>
          <w:sz w:val="20"/>
          <w:szCs w:val="20"/>
        </w:rPr>
        <w:t xml:space="preserve"> </w:t>
      </w:r>
      <w:r w:rsidRPr="00CB64CC">
        <w:rPr>
          <w:rFonts w:ascii="Arial" w:hAnsi="Arial" w:cs="Arial"/>
          <w:bCs/>
          <w:sz w:val="20"/>
          <w:szCs w:val="20"/>
        </w:rPr>
        <w:t xml:space="preserve">meghatározza, hogy a </w:t>
      </w:r>
      <w:r w:rsidR="009E130D" w:rsidRPr="00CB64CC">
        <w:rPr>
          <w:rFonts w:ascii="Arial" w:hAnsi="Arial" w:cs="Arial"/>
          <w:bCs/>
          <w:sz w:val="20"/>
          <w:szCs w:val="20"/>
        </w:rPr>
        <w:t xml:space="preserve">bírósági ülnök </w:t>
      </w:r>
      <w:r w:rsidRPr="00CB64CC">
        <w:rPr>
          <w:rFonts w:ascii="Arial" w:hAnsi="Arial" w:cs="Arial"/>
          <w:bCs/>
          <w:sz w:val="20"/>
          <w:szCs w:val="20"/>
        </w:rPr>
        <w:t>jelöltnek mely törvényi feltételnek kell megfelelnie ahhoz, hogy a Fővárosi Közgyűlés megválaszthassa ülnöknek.</w:t>
      </w:r>
      <w:r w:rsidR="009E130D" w:rsidRPr="00CB64CC">
        <w:rPr>
          <w:rFonts w:ascii="Arial" w:hAnsi="Arial" w:cs="Arial"/>
          <w:bCs/>
          <w:sz w:val="20"/>
          <w:szCs w:val="20"/>
        </w:rPr>
        <w:t xml:space="preserve"> </w:t>
      </w:r>
      <w:r w:rsidR="00F351E5" w:rsidRPr="00CB64CC">
        <w:rPr>
          <w:rFonts w:ascii="Arial" w:hAnsi="Arial" w:cs="Arial"/>
          <w:bCs/>
          <w:sz w:val="20"/>
          <w:szCs w:val="20"/>
        </w:rPr>
        <w:t>Az adatkezelés</w:t>
      </w:r>
      <w:r w:rsidR="00E14A22" w:rsidRPr="00E14A22">
        <w:t xml:space="preserve"> </w:t>
      </w:r>
      <w:r w:rsidR="00E14A22" w:rsidRPr="00E14A22">
        <w:rPr>
          <w:rFonts w:ascii="Arial" w:hAnsi="Arial" w:cs="Arial"/>
          <w:bCs/>
          <w:sz w:val="20"/>
          <w:szCs w:val="20"/>
        </w:rPr>
        <w:t>az adatkezelő közhatalmi tevékenysége keretében végzett feladatának végrehajtásához szükséges</w:t>
      </w:r>
      <w:r w:rsidR="00E14A22">
        <w:rPr>
          <w:rFonts w:ascii="Arial" w:hAnsi="Arial" w:cs="Arial"/>
          <w:bCs/>
          <w:sz w:val="20"/>
          <w:szCs w:val="20"/>
        </w:rPr>
        <w:t xml:space="preserve">, </w:t>
      </w:r>
      <w:r w:rsidR="00F351E5" w:rsidRPr="00CB64CC">
        <w:rPr>
          <w:rFonts w:ascii="Arial" w:hAnsi="Arial" w:cs="Arial"/>
          <w:bCs/>
          <w:sz w:val="20"/>
          <w:szCs w:val="20"/>
        </w:rPr>
        <w:t xml:space="preserve">a Rendelet 6. cikk </w:t>
      </w:r>
      <w:r w:rsidR="00E14A22">
        <w:rPr>
          <w:rFonts w:ascii="Arial" w:hAnsi="Arial" w:cs="Arial"/>
          <w:bCs/>
          <w:sz w:val="20"/>
          <w:szCs w:val="20"/>
        </w:rPr>
        <w:t>(1) bekezdés e) pontján alapul, figyelemmel a Rendelet 9. cikk (2) bekezdés g) pontjában, valamint a Rendelet 10. cikkében foglaltakra is.</w:t>
      </w:r>
      <w:r w:rsidR="00F351E5" w:rsidRPr="00CB64CC">
        <w:rPr>
          <w:rFonts w:ascii="Arial" w:hAnsi="Arial" w:cs="Arial"/>
          <w:bCs/>
          <w:sz w:val="20"/>
          <w:szCs w:val="20"/>
        </w:rPr>
        <w:t xml:space="preserve"> </w:t>
      </w:r>
      <w:r w:rsidR="009E130D" w:rsidRPr="00CB64CC">
        <w:rPr>
          <w:rFonts w:ascii="Arial" w:hAnsi="Arial" w:cs="Arial"/>
          <w:bCs/>
          <w:sz w:val="20"/>
          <w:szCs w:val="20"/>
        </w:rPr>
        <w:t xml:space="preserve">Az adatszolgáltatás kötelező, ennek hiányában nem tehető javaslat a megválasztandó bírósági ülnökök személyére.  </w:t>
      </w:r>
    </w:p>
    <w:p w14:paraId="1AA5722D" w14:textId="7963A9D5" w:rsidR="00033476" w:rsidRPr="00CB64CC" w:rsidRDefault="0004514B" w:rsidP="00CB64CC">
      <w:pPr>
        <w:pStyle w:val="Listaszerbekezds"/>
        <w:numPr>
          <w:ilvl w:val="0"/>
          <w:numId w:val="6"/>
        </w:numPr>
        <w:rPr>
          <w:b/>
        </w:rPr>
      </w:pPr>
      <w:r w:rsidRPr="00CB64CC">
        <w:rPr>
          <w:b/>
        </w:rPr>
        <w:t>A</w:t>
      </w:r>
      <w:r w:rsidR="00033476" w:rsidRPr="00CB64CC">
        <w:rPr>
          <w:b/>
        </w:rPr>
        <w:t>dattovábbítás</w:t>
      </w:r>
    </w:p>
    <w:p w14:paraId="5819E3FD" w14:textId="7C6C42BA" w:rsidR="00896332" w:rsidRPr="00CB64CC" w:rsidRDefault="00A62CD5" w:rsidP="006661CA">
      <w:pPr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>A</w:t>
      </w:r>
      <w:r w:rsidR="008118C5">
        <w:rPr>
          <w:rFonts w:ascii="Arial" w:hAnsi="Arial" w:cs="Arial"/>
          <w:sz w:val="20"/>
          <w:szCs w:val="20"/>
        </w:rPr>
        <w:t xml:space="preserve"> megválasztott ülnökök névjegyzéke</w:t>
      </w:r>
      <w:r w:rsidR="00E14A22">
        <w:rPr>
          <w:rFonts w:ascii="Arial" w:hAnsi="Arial" w:cs="Arial"/>
          <w:sz w:val="20"/>
          <w:szCs w:val="20"/>
        </w:rPr>
        <w:t>,</w:t>
      </w:r>
      <w:r w:rsidR="008118C5">
        <w:rPr>
          <w:rFonts w:ascii="Arial" w:hAnsi="Arial" w:cs="Arial"/>
          <w:sz w:val="20"/>
          <w:szCs w:val="20"/>
        </w:rPr>
        <w:t xml:space="preserve"> a</w:t>
      </w:r>
      <w:r w:rsidR="00E14A22">
        <w:rPr>
          <w:rFonts w:ascii="Arial" w:hAnsi="Arial" w:cs="Arial"/>
          <w:sz w:val="20"/>
          <w:szCs w:val="20"/>
        </w:rPr>
        <w:t>z</w:t>
      </w:r>
      <w:r w:rsidRPr="00CB64CC">
        <w:rPr>
          <w:rFonts w:ascii="Arial" w:hAnsi="Arial" w:cs="Arial"/>
          <w:sz w:val="20"/>
          <w:szCs w:val="20"/>
        </w:rPr>
        <w:t xml:space="preserve"> </w:t>
      </w:r>
      <w:r w:rsidR="008118C5">
        <w:rPr>
          <w:rFonts w:ascii="Arial" w:hAnsi="Arial" w:cs="Arial"/>
          <w:sz w:val="20"/>
          <w:szCs w:val="20"/>
        </w:rPr>
        <w:t>elfogadó nyilatkozat</w:t>
      </w:r>
      <w:r w:rsidR="00E14A22">
        <w:rPr>
          <w:rFonts w:ascii="Arial" w:hAnsi="Arial" w:cs="Arial"/>
          <w:sz w:val="20"/>
          <w:szCs w:val="20"/>
        </w:rPr>
        <w:t>ok</w:t>
      </w:r>
      <w:r w:rsidR="008118C5">
        <w:rPr>
          <w:rFonts w:ascii="Arial" w:hAnsi="Arial" w:cs="Arial"/>
          <w:sz w:val="20"/>
          <w:szCs w:val="20"/>
        </w:rPr>
        <w:t>, valamint a megbízólevelek</w:t>
      </w:r>
      <w:r w:rsidR="00E14A22">
        <w:rPr>
          <w:rFonts w:ascii="Arial" w:hAnsi="Arial" w:cs="Arial"/>
          <w:sz w:val="20"/>
          <w:szCs w:val="20"/>
        </w:rPr>
        <w:t xml:space="preserve"> – a rajtuk szereplő személyes adatokkal -</w:t>
      </w:r>
      <w:r w:rsidRPr="00CB64CC">
        <w:rPr>
          <w:rFonts w:ascii="Arial" w:hAnsi="Arial" w:cs="Arial"/>
          <w:sz w:val="20"/>
          <w:szCs w:val="20"/>
        </w:rPr>
        <w:t xml:space="preserve"> attól függően, hogy mely bírósághoz jelentkezett </w:t>
      </w:r>
      <w:r w:rsidR="004F4B2B" w:rsidRPr="00CB64CC">
        <w:rPr>
          <w:rFonts w:ascii="Arial" w:hAnsi="Arial" w:cs="Arial"/>
          <w:sz w:val="20"/>
          <w:szCs w:val="20"/>
        </w:rPr>
        <w:t>a</w:t>
      </w:r>
      <w:r w:rsidRPr="00CB64CC">
        <w:rPr>
          <w:rFonts w:ascii="Arial" w:hAnsi="Arial" w:cs="Arial"/>
          <w:sz w:val="20"/>
          <w:szCs w:val="20"/>
        </w:rPr>
        <w:t xml:space="preserve"> Fővárosi Törvényszékre vagy a Fővárosi Közigazgatási és Munkaügyi Bírósághoz</w:t>
      </w:r>
      <w:r w:rsidR="001E52D6" w:rsidRPr="00CB64CC">
        <w:rPr>
          <w:rFonts w:ascii="Arial" w:hAnsi="Arial" w:cs="Arial"/>
          <w:sz w:val="20"/>
          <w:szCs w:val="20"/>
        </w:rPr>
        <w:t xml:space="preserve"> kerülnek</w:t>
      </w:r>
      <w:r w:rsidRPr="00CB64CC">
        <w:rPr>
          <w:rFonts w:ascii="Arial" w:hAnsi="Arial" w:cs="Arial"/>
          <w:sz w:val="20"/>
          <w:szCs w:val="20"/>
        </w:rPr>
        <w:t xml:space="preserve"> továbbít</w:t>
      </w:r>
      <w:r w:rsidR="001E52D6" w:rsidRPr="00CB64CC">
        <w:rPr>
          <w:rFonts w:ascii="Arial" w:hAnsi="Arial" w:cs="Arial"/>
          <w:sz w:val="20"/>
          <w:szCs w:val="20"/>
        </w:rPr>
        <w:t>ásra.</w:t>
      </w:r>
    </w:p>
    <w:p w14:paraId="3CD284F9" w14:textId="77777777" w:rsidR="005A1E33" w:rsidRPr="00CB64CC" w:rsidRDefault="005A1E33" w:rsidP="006661C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93091CE" w14:textId="7D4D04D9" w:rsidR="00E14FB2" w:rsidRPr="00CB64CC" w:rsidRDefault="00920E81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CB64CC">
        <w:rPr>
          <w:rFonts w:ascii="Arial" w:hAnsi="Arial" w:cs="Arial"/>
          <w:b/>
          <w:sz w:val="20"/>
          <w:szCs w:val="20"/>
        </w:rPr>
        <w:t xml:space="preserve">Az </w:t>
      </w:r>
      <w:r w:rsidR="00033476" w:rsidRPr="00CB64CC">
        <w:rPr>
          <w:rFonts w:ascii="Arial" w:hAnsi="Arial" w:cs="Arial"/>
          <w:b/>
          <w:sz w:val="20"/>
          <w:szCs w:val="20"/>
        </w:rPr>
        <w:t>adatkezelés időtartama</w:t>
      </w:r>
    </w:p>
    <w:p w14:paraId="73441DEB" w14:textId="71BE85DE" w:rsidR="00033476" w:rsidRPr="00CB64CC" w:rsidRDefault="00033476" w:rsidP="00385C93">
      <w:pPr>
        <w:pStyle w:val="Listaszerbekezds"/>
        <w:jc w:val="both"/>
        <w:rPr>
          <w:rFonts w:ascii="Arial" w:hAnsi="Arial" w:cs="Arial"/>
          <w:b/>
          <w:sz w:val="20"/>
          <w:szCs w:val="20"/>
        </w:rPr>
      </w:pPr>
    </w:p>
    <w:p w14:paraId="0A46A975" w14:textId="1E62258F" w:rsidR="0050247A" w:rsidRPr="00CB64CC" w:rsidRDefault="0050247A" w:rsidP="00A62CD5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>A Hivatal a személyes adatokat az önkormányzati hivatalok egységes irattári tervének kiadásáról szóló 78/2012. (XII.28.) BM rendelet és belső szabályzatok szerinti időtartamig őrzi meg.</w:t>
      </w:r>
    </w:p>
    <w:p w14:paraId="478853D4" w14:textId="77777777" w:rsidR="0050247A" w:rsidRPr="00CB64CC" w:rsidRDefault="0050247A" w:rsidP="00A62CD5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</w:p>
    <w:p w14:paraId="1002612C" w14:textId="77777777" w:rsidR="001E52D6" w:rsidRPr="00CB64CC" w:rsidRDefault="001E52D6" w:rsidP="00A62CD5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</w:p>
    <w:p w14:paraId="465681F1" w14:textId="64F81282" w:rsidR="001E52D6" w:rsidRPr="00CB64CC" w:rsidRDefault="001E52D6" w:rsidP="00CB64CC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CB64CC">
        <w:rPr>
          <w:rFonts w:ascii="Arial" w:hAnsi="Arial" w:cs="Arial"/>
          <w:b/>
          <w:sz w:val="20"/>
          <w:szCs w:val="20"/>
        </w:rPr>
        <w:t>Az adatkezelésre jogosultak köre, az adatokhoz való hozzáférés és az adatbiztonsági intézkedések</w:t>
      </w:r>
    </w:p>
    <w:p w14:paraId="7FC3D3C9" w14:textId="28E9A741" w:rsidR="001E52D6" w:rsidRPr="00CB64CC" w:rsidRDefault="001E52D6" w:rsidP="00385C93">
      <w:pPr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>Az adatok kezelését kizárólag a Hivatal erre felhatalmazott munkatársai végzik a feladataik ellátása érdekében.</w:t>
      </w:r>
      <w:r w:rsidR="005A1E33" w:rsidRPr="00CB64CC">
        <w:rPr>
          <w:rFonts w:ascii="Arial" w:hAnsi="Arial" w:cs="Arial"/>
          <w:sz w:val="20"/>
          <w:szCs w:val="20"/>
        </w:rPr>
        <w:t xml:space="preserve"> A tárolt adatokhoz</w:t>
      </w:r>
      <w:r w:rsidR="00923B37" w:rsidRPr="00CB64CC">
        <w:rPr>
          <w:rFonts w:ascii="Arial" w:hAnsi="Arial" w:cs="Arial"/>
          <w:sz w:val="20"/>
          <w:szCs w:val="20"/>
        </w:rPr>
        <w:t xml:space="preserve"> hozzáférni</w:t>
      </w:r>
      <w:r w:rsidR="005A1E33" w:rsidRPr="00CB64CC">
        <w:rPr>
          <w:rFonts w:ascii="Arial" w:hAnsi="Arial" w:cs="Arial"/>
          <w:sz w:val="20"/>
          <w:szCs w:val="20"/>
        </w:rPr>
        <w:t xml:space="preserve"> kizárólag</w:t>
      </w:r>
      <w:r w:rsidRPr="00CB64CC">
        <w:rPr>
          <w:rFonts w:ascii="Arial" w:hAnsi="Arial" w:cs="Arial"/>
          <w:sz w:val="20"/>
          <w:szCs w:val="20"/>
        </w:rPr>
        <w:t xml:space="preserve"> az arra kijelölt mun</w:t>
      </w:r>
      <w:r w:rsidR="00923B37" w:rsidRPr="00CB64CC">
        <w:rPr>
          <w:rFonts w:ascii="Arial" w:hAnsi="Arial" w:cs="Arial"/>
          <w:sz w:val="20"/>
          <w:szCs w:val="20"/>
        </w:rPr>
        <w:t>katársak</w:t>
      </w:r>
      <w:r w:rsidR="007F7E76">
        <w:rPr>
          <w:rFonts w:ascii="Arial" w:hAnsi="Arial" w:cs="Arial"/>
          <w:sz w:val="20"/>
          <w:szCs w:val="20"/>
        </w:rPr>
        <w:t xml:space="preserve">, </w:t>
      </w:r>
      <w:bookmarkStart w:id="2" w:name="_Hlk21337693"/>
      <w:r w:rsidR="007F7E76">
        <w:rPr>
          <w:rFonts w:ascii="Arial" w:hAnsi="Arial" w:cs="Arial"/>
          <w:sz w:val="20"/>
          <w:szCs w:val="20"/>
        </w:rPr>
        <w:t>valamint a döntési eljárásban résztvevők</w:t>
      </w:r>
      <w:r w:rsidR="00923B37" w:rsidRPr="00CB64CC">
        <w:rPr>
          <w:rFonts w:ascii="Arial" w:hAnsi="Arial" w:cs="Arial"/>
          <w:sz w:val="20"/>
          <w:szCs w:val="20"/>
        </w:rPr>
        <w:t xml:space="preserve"> jogosultak. </w:t>
      </w:r>
    </w:p>
    <w:bookmarkEnd w:id="2"/>
    <w:p w14:paraId="16A0D30A" w14:textId="77777777" w:rsidR="001E52D6" w:rsidRPr="00CB64CC" w:rsidRDefault="001E52D6" w:rsidP="00385C93">
      <w:pPr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>A Hivatal</w:t>
      </w:r>
      <w:r w:rsidR="00923B37" w:rsidRPr="00CB64CC">
        <w:rPr>
          <w:rFonts w:ascii="Arial" w:hAnsi="Arial" w:cs="Arial"/>
          <w:sz w:val="20"/>
          <w:szCs w:val="20"/>
        </w:rPr>
        <w:t xml:space="preserve"> a személyes adatokat a </w:t>
      </w:r>
      <w:r w:rsidRPr="00CB64CC">
        <w:rPr>
          <w:rFonts w:ascii="Arial" w:hAnsi="Arial" w:cs="Arial"/>
          <w:sz w:val="20"/>
          <w:szCs w:val="20"/>
        </w:rPr>
        <w:t>székhelyén található szervereken é</w:t>
      </w:r>
      <w:r w:rsidR="005A1E33" w:rsidRPr="00CB64CC">
        <w:rPr>
          <w:rFonts w:ascii="Arial" w:hAnsi="Arial" w:cs="Arial"/>
          <w:sz w:val="20"/>
          <w:szCs w:val="20"/>
        </w:rPr>
        <w:t>s irattárban, valamint a</w:t>
      </w:r>
      <w:r w:rsidRPr="00CB64CC">
        <w:rPr>
          <w:rFonts w:ascii="Arial" w:hAnsi="Arial" w:cs="Arial"/>
          <w:sz w:val="20"/>
          <w:szCs w:val="20"/>
        </w:rPr>
        <w:t xml:space="preserve"> központi irattárában tárolja.</w:t>
      </w:r>
    </w:p>
    <w:p w14:paraId="32CCD46A" w14:textId="2DF5BD63" w:rsidR="001E52D6" w:rsidRPr="00CB64CC" w:rsidRDefault="001E52D6" w:rsidP="001E52D6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  <w:r w:rsidRPr="00CB64CC">
        <w:rPr>
          <w:rFonts w:ascii="Arial" w:hAnsi="Arial" w:cs="Arial"/>
          <w:sz w:val="20"/>
          <w:szCs w:val="20"/>
        </w:rPr>
        <w:t>A Hivatal minden észszerűen elvárható technikai és szervezési intézkedést megtesz annak érdekében, hogy a személyes adatait védjük, többek között a jogosulatlan hozzáférés ellen vagy azok jogosulatlan megváltoztatása ellen.</w:t>
      </w:r>
    </w:p>
    <w:p w14:paraId="476F4B8B" w14:textId="77777777" w:rsidR="00E14FB2" w:rsidRPr="00CB64CC" w:rsidRDefault="00E14FB2" w:rsidP="001E52D6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</w:p>
    <w:p w14:paraId="064288D9" w14:textId="1BEAED01" w:rsidR="0050247A" w:rsidRPr="00CB64CC" w:rsidRDefault="007F2D02" w:rsidP="00CB64CC">
      <w:pPr>
        <w:pStyle w:val="Listaszerbekezds"/>
        <w:numPr>
          <w:ilvl w:val="0"/>
          <w:numId w:val="6"/>
        </w:numPr>
        <w:jc w:val="both"/>
        <w:rPr>
          <w:rFonts w:ascii="Arial" w:eastAsia="Calibri" w:hAnsi="Arial" w:cs="Arial"/>
          <w:b/>
          <w:sz w:val="20"/>
          <w:szCs w:val="20"/>
        </w:rPr>
      </w:pPr>
      <w:r w:rsidRPr="00CB64CC">
        <w:rPr>
          <w:rFonts w:ascii="Arial" w:hAnsi="Arial" w:cs="Arial"/>
          <w:b/>
          <w:sz w:val="20"/>
          <w:szCs w:val="20"/>
        </w:rPr>
        <w:t>Az érintett adatkezeléssel kapcsolatos jogai és jogorvoslati lehetőségei</w:t>
      </w:r>
    </w:p>
    <w:p w14:paraId="39CE77DA" w14:textId="77777777" w:rsidR="00386A15" w:rsidRDefault="00386A15" w:rsidP="005024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3E5135F" w14:textId="56DBA479" w:rsidR="00386A15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B64CC">
        <w:rPr>
          <w:rFonts w:ascii="Arial" w:eastAsia="Calibri" w:hAnsi="Arial" w:cs="Arial"/>
          <w:b/>
          <w:sz w:val="20"/>
          <w:szCs w:val="20"/>
        </w:rPr>
        <w:t>Jogok</w:t>
      </w:r>
    </w:p>
    <w:p w14:paraId="1B57B3CD" w14:textId="60BCBE09" w:rsidR="0050247A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Az érintett kérelmezheti a Hivatalnál (az 1. pontban megjelölt elérhetőségeken):</w:t>
      </w:r>
    </w:p>
    <w:p w14:paraId="43D33D3B" w14:textId="77777777" w:rsidR="00386A15" w:rsidRPr="00386A15" w:rsidRDefault="00386A15" w:rsidP="005024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E9987DB" w14:textId="77777777" w:rsidR="0050247A" w:rsidRPr="00386A15" w:rsidRDefault="0050247A" w:rsidP="0050247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tájékoztatását a személyes adatai kezeléséről,</w:t>
      </w:r>
    </w:p>
    <w:p w14:paraId="32FDA1DE" w14:textId="77777777" w:rsidR="0050247A" w:rsidRPr="00386A15" w:rsidRDefault="0050247A" w:rsidP="0050247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személyes adatainak helyesbítését,</w:t>
      </w:r>
    </w:p>
    <w:p w14:paraId="47379C29" w14:textId="77777777" w:rsidR="0050247A" w:rsidRPr="00386A15" w:rsidRDefault="0050247A" w:rsidP="0050247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személyes adatai kezelésének korlátozását (meghatározott esetekben),</w:t>
      </w:r>
    </w:p>
    <w:p w14:paraId="3B6EBAEB" w14:textId="77777777" w:rsidR="0050247A" w:rsidRPr="00386A15" w:rsidRDefault="0050247A" w:rsidP="0050247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személyes adatai törlését (a jogszabályban elrendelt adatkezelések kivételével),</w:t>
      </w:r>
    </w:p>
    <w:p w14:paraId="6481579D" w14:textId="200ADF46" w:rsidR="00E14FB2" w:rsidRPr="00CB64CC" w:rsidRDefault="0050247A" w:rsidP="0050247A">
      <w:pPr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valamint tiltakozhat a személyes adatainak kezelése ellen.</w:t>
      </w:r>
    </w:p>
    <w:p w14:paraId="66F10600" w14:textId="4780207E" w:rsidR="00E14A22" w:rsidRDefault="00E14A22" w:rsidP="005024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943B05A" w14:textId="282F5A97" w:rsidR="0050247A" w:rsidRPr="00386A15" w:rsidRDefault="0050247A" w:rsidP="005024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86A15">
        <w:rPr>
          <w:rFonts w:ascii="Arial" w:eastAsia="Calibri" w:hAnsi="Arial" w:cs="Arial"/>
          <w:b/>
          <w:sz w:val="20"/>
          <w:szCs w:val="20"/>
        </w:rPr>
        <w:lastRenderedPageBreak/>
        <w:t>Az érintett kérelmére Adatkezelő</w:t>
      </w:r>
    </w:p>
    <w:p w14:paraId="04D12066" w14:textId="77777777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5D4A944" w14:textId="77777777" w:rsidR="0050247A" w:rsidRPr="00386A15" w:rsidRDefault="0050247A" w:rsidP="0050247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b/>
          <w:sz w:val="20"/>
          <w:szCs w:val="20"/>
        </w:rPr>
        <w:t>tájékoztatást</w:t>
      </w:r>
      <w:r w:rsidRPr="00386A15">
        <w:rPr>
          <w:rFonts w:ascii="Arial" w:eastAsia="Calibri" w:hAnsi="Arial" w:cs="Arial"/>
          <w:sz w:val="20"/>
          <w:szCs w:val="20"/>
        </w:rPr>
        <w:t xml:space="preserve"> ad arra vonatkozóan, hogy személyes adatainak </w:t>
      </w:r>
      <w:r w:rsidRPr="00386A15">
        <w:rPr>
          <w:rFonts w:ascii="Arial" w:eastAsia="Calibri" w:hAnsi="Arial" w:cs="Arial"/>
          <w:b/>
          <w:sz w:val="20"/>
          <w:szCs w:val="20"/>
        </w:rPr>
        <w:t>kezelése</w:t>
      </w:r>
      <w:r w:rsidRPr="00386A15">
        <w:rPr>
          <w:rFonts w:ascii="Arial" w:eastAsia="Calibri" w:hAnsi="Arial" w:cs="Arial"/>
          <w:sz w:val="20"/>
          <w:szCs w:val="20"/>
        </w:rPr>
        <w:t xml:space="preserve"> folyamatban van-e, amennyiben igen, a tájékoztatásnak az alábbiakra is ki kell terjednie: az adatkezelés célja, az adatkezeléssel érintett személyes adatok kategóriái, adattovábbítás esetén: a címzettek megnevezése, az adatkezelés időtartama, érintett jogai, jogorvoslathoz való jogai, amennyiben az adatok nem az érintettől származnak: az adatok forrásának megjelölése.  </w:t>
      </w:r>
    </w:p>
    <w:p w14:paraId="2A6E8918" w14:textId="1746A6D7" w:rsidR="0050247A" w:rsidRDefault="0050247A" w:rsidP="0050247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A kérelem benyújtásától számított legrövidebb idő alatt, legfeljebb azonban a kérelem beérkezésétől számított 1 hónapon belül írásban, közérthető formában adja meg a tájékoztatást. E tájékoztatás díjmentes. Amennyiben az Adatkezelő bizonyítani tudja, hogy az érintett kérelme megalapozatlan vagy túlzó, az Adatkezelő költségtérítést számíthat fel vagy elutasítja a kérelmet.</w:t>
      </w:r>
    </w:p>
    <w:p w14:paraId="6D8E2D11" w14:textId="77777777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90A982" w14:textId="19E08E49" w:rsidR="007F7E76" w:rsidRDefault="007F7E76" w:rsidP="0050247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</w:t>
      </w:r>
      <w:r w:rsidRPr="007F7E76">
        <w:rPr>
          <w:rFonts w:ascii="Arial" w:eastAsia="Calibri" w:hAnsi="Arial" w:cs="Arial"/>
          <w:sz w:val="20"/>
          <w:szCs w:val="20"/>
        </w:rPr>
        <w:t>mennyiben az érintett az adatkezelés tárgyát képező személyes adatok másolatát kéri, a Hivatal ezt rendelkezésre bocsátja.  Az érintett által kért további másolatokért a Hivatal adminisztratív költségeken alapuló ésszerű mértékű díjat számíthat fel.</w:t>
      </w:r>
    </w:p>
    <w:p w14:paraId="56BF459C" w14:textId="77777777" w:rsidR="007F7E76" w:rsidRDefault="007F7E76" w:rsidP="007F7E7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263CCBB" w14:textId="6FDE2079" w:rsidR="0050247A" w:rsidRPr="00386A15" w:rsidRDefault="0050247A" w:rsidP="0050247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 xml:space="preserve">indokolatlan késedelem nélkül </w:t>
      </w:r>
      <w:r w:rsidRPr="00386A15">
        <w:rPr>
          <w:rFonts w:ascii="Arial" w:eastAsia="Calibri" w:hAnsi="Arial" w:cs="Arial"/>
          <w:b/>
          <w:sz w:val="20"/>
          <w:szCs w:val="20"/>
        </w:rPr>
        <w:t>helyesbíti</w:t>
      </w:r>
      <w:r w:rsidRPr="00386A15">
        <w:rPr>
          <w:rFonts w:ascii="Arial" w:eastAsia="Calibri" w:hAnsi="Arial" w:cs="Arial"/>
          <w:sz w:val="20"/>
          <w:szCs w:val="20"/>
        </w:rPr>
        <w:t xml:space="preserve"> az érintettre vonatkozó pontatlan személyes adatokat, illetve a hiányos személyes adatokat – kiegészítő nyilatkozat alapján – kiegészíti.</w:t>
      </w:r>
    </w:p>
    <w:p w14:paraId="49B1D69C" w14:textId="77777777" w:rsidR="0050247A" w:rsidRPr="00CB64CC" w:rsidRDefault="0050247A" w:rsidP="0050247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682ECC0" w14:textId="77777777" w:rsidR="0050247A" w:rsidRPr="00386A15" w:rsidRDefault="0050247A" w:rsidP="0050247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b/>
          <w:sz w:val="20"/>
          <w:szCs w:val="20"/>
        </w:rPr>
        <w:t>korlátozza</w:t>
      </w:r>
      <w:r w:rsidRPr="00386A15">
        <w:rPr>
          <w:rFonts w:ascii="Arial" w:eastAsia="Calibri" w:hAnsi="Arial" w:cs="Arial"/>
          <w:sz w:val="20"/>
          <w:szCs w:val="20"/>
        </w:rPr>
        <w:t xml:space="preserve"> az adatkezelést, ha az érintett vitatja a személyes adatok pontosságát, ha az adatkezelés jogellenes és az érintett ellenzi az adatok törlését, ha az adatkezelés céljából már nincs szükség a személyes adatok kezelésére, de az érintett jogi igényének érvényesítéséhez szükséges, vagy ha az érintett tiltakozott az adatkezelés ellen. 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14:paraId="27C15692" w14:textId="77777777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22EA31" w14:textId="079ABFE6" w:rsidR="0050247A" w:rsidRPr="00386A15" w:rsidRDefault="0050247A" w:rsidP="0050247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 xml:space="preserve">a személyes adatot </w:t>
      </w:r>
      <w:r w:rsidRPr="00386A15">
        <w:rPr>
          <w:rFonts w:ascii="Arial" w:eastAsia="Calibri" w:hAnsi="Arial" w:cs="Arial"/>
          <w:b/>
          <w:sz w:val="20"/>
          <w:szCs w:val="20"/>
        </w:rPr>
        <w:t>törli</w:t>
      </w:r>
      <w:r w:rsidRPr="00386A15">
        <w:rPr>
          <w:rFonts w:ascii="Arial" w:eastAsia="Calibri" w:hAnsi="Arial" w:cs="Arial"/>
          <w:sz w:val="20"/>
          <w:szCs w:val="20"/>
        </w:rPr>
        <w:t xml:space="preserve">, ha kezelése jogellenes, ha az adatkezelés célja megszűnt, ha a személyes adatokat az adatkezelőre vonatkozó jogi kötelezettség teljesítése érdekében törölni kell, vagy ha az érintett tiltakozik az adatkezelés ellen és nincs elsőbbséget élvező jogszerű ok az adatkezelésre.  A törlési kérelmet a Hivatal abban az esetben utasítja el, ha az </w:t>
      </w:r>
      <w:proofErr w:type="spellStart"/>
      <w:r w:rsidRPr="00386A15">
        <w:rPr>
          <w:rFonts w:ascii="Arial" w:eastAsia="Calibri" w:hAnsi="Arial" w:cs="Arial"/>
          <w:sz w:val="20"/>
          <w:szCs w:val="20"/>
        </w:rPr>
        <w:t>irattározásra</w:t>
      </w:r>
      <w:proofErr w:type="spellEnd"/>
      <w:r w:rsidRPr="00386A15">
        <w:rPr>
          <w:rFonts w:ascii="Arial" w:eastAsia="Calibri" w:hAnsi="Arial" w:cs="Arial"/>
          <w:sz w:val="20"/>
          <w:szCs w:val="20"/>
        </w:rPr>
        <w:t xml:space="preserve"> vonatkozó jogszabályban foglalt határidő nem telt el.</w:t>
      </w:r>
    </w:p>
    <w:p w14:paraId="397F3AC2" w14:textId="77777777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0FDFFF6" w14:textId="77777777" w:rsidR="0050247A" w:rsidRPr="00386A15" w:rsidRDefault="0050247A" w:rsidP="005024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86A15">
        <w:rPr>
          <w:rFonts w:ascii="Arial" w:eastAsia="Calibri" w:hAnsi="Arial" w:cs="Arial"/>
          <w:b/>
          <w:sz w:val="20"/>
          <w:szCs w:val="20"/>
        </w:rPr>
        <w:t>Az érintett</w:t>
      </w:r>
    </w:p>
    <w:p w14:paraId="0B517842" w14:textId="77777777" w:rsidR="0050247A" w:rsidRPr="00386A15" w:rsidRDefault="0050247A" w:rsidP="0050247A">
      <w:pPr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 xml:space="preserve">jogosult arra, hogy a saját helyzetével kapcsolatos okokból tiltakozzon személyes adatainak kezelése ellen. Ebben az esetben a személyes adatai nem kezelhetők tovább, kivéve, ha az adatkezelést olyan kényszerítő </w:t>
      </w:r>
      <w:proofErr w:type="spellStart"/>
      <w:r w:rsidRPr="00386A15">
        <w:rPr>
          <w:rFonts w:ascii="Arial" w:eastAsia="Calibri" w:hAnsi="Arial" w:cs="Arial"/>
          <w:sz w:val="20"/>
          <w:szCs w:val="20"/>
        </w:rPr>
        <w:t>erejű</w:t>
      </w:r>
      <w:proofErr w:type="spellEnd"/>
      <w:r w:rsidRPr="00386A15">
        <w:rPr>
          <w:rFonts w:ascii="Arial" w:eastAsia="Calibri" w:hAnsi="Arial" w:cs="Arial"/>
          <w:sz w:val="20"/>
          <w:szCs w:val="20"/>
        </w:rPr>
        <w:t xml:space="preserve"> jogos okok indokolják, amelyek elsőbbséget élveznek az érintett érdekeivel, jogaival, szabadságaival szemben, vagy amelyek jogi igények előterjesztéséhez, érvényesítéséhez vagy védelméhez kapcsolódnak.</w:t>
      </w:r>
    </w:p>
    <w:p w14:paraId="4F7F2111" w14:textId="77777777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245FA4" w14:textId="77777777" w:rsidR="0050247A" w:rsidRPr="00386A15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Az érintett személyes adatok törlésére, korlátozására, helyesbítésére, illetve tiltakozásra vonatkozó kérésére Adatkezelő indokolatlan késedelem nélkül, de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 és élhet bírósági jogorvoslati jogával.</w:t>
      </w:r>
    </w:p>
    <w:p w14:paraId="1D7607F2" w14:textId="77777777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1BA1EF" w14:textId="77777777" w:rsidR="0050247A" w:rsidRPr="00386A15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Adatkezelő a helyesbítésről, az adatkezelés korlátozásáról és a törlésről az érintettet, továbbá mindazokat értesíti, akivel, illetve amellyel korábban a személyes adatot közölte, kivéve, ha ez lehetetlennek bizonyul vagy aránytalanul nagy erőfeszítést igényel. Az érintettet kérésére Adatkezelő a címzettekről tájékoztatja.</w:t>
      </w:r>
    </w:p>
    <w:p w14:paraId="4519E55C" w14:textId="17BFA0DA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D80CCEC" w14:textId="06236AAA" w:rsidR="0050247A" w:rsidRPr="00CB64CC" w:rsidRDefault="00386A15" w:rsidP="005024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Jogorvoslati lehetőségek</w:t>
      </w:r>
    </w:p>
    <w:p w14:paraId="21422CB0" w14:textId="77777777" w:rsidR="0050247A" w:rsidRPr="00386A15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Amennyiben az adatkezeléssel kapcsolatban panaszt kíván tenni, célszerű azt elsőként az adatvédelmi tisztviselő 2. pontban megadott elérhetőségére megküldeni, melyet – annak beérkezését követően – haladéktalanul, de legkésőbb 1 hónapon belül megvizsgál, és a panaszost a vizsgálat eredményéről tájékoztatja.</w:t>
      </w:r>
    </w:p>
    <w:p w14:paraId="02B92333" w14:textId="77777777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88050A" w14:textId="77777777" w:rsidR="0050247A" w:rsidRPr="00386A15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Jogellenes adatkezelés esetén:</w:t>
      </w:r>
    </w:p>
    <w:p w14:paraId="64361C3C" w14:textId="77777777" w:rsidR="0050247A" w:rsidRPr="00386A15" w:rsidRDefault="0050247A" w:rsidP="0050247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b/>
          <w:sz w:val="20"/>
          <w:szCs w:val="20"/>
        </w:rPr>
        <w:t>panaszt nyújthat be</w:t>
      </w:r>
      <w:r w:rsidRPr="00386A15">
        <w:rPr>
          <w:rFonts w:ascii="Arial" w:eastAsia="Calibri" w:hAnsi="Arial" w:cs="Arial"/>
          <w:sz w:val="20"/>
          <w:szCs w:val="20"/>
        </w:rPr>
        <w:t xml:space="preserve"> a </w:t>
      </w:r>
      <w:r w:rsidRPr="00386A15">
        <w:rPr>
          <w:rFonts w:ascii="Arial" w:eastAsia="Calibri" w:hAnsi="Arial" w:cs="Arial"/>
          <w:i/>
          <w:sz w:val="20"/>
          <w:szCs w:val="20"/>
        </w:rPr>
        <w:t>Nemzeti Adatvédelmi és Információszabadság Hatósághoz</w:t>
      </w:r>
      <w:r w:rsidRPr="00386A15">
        <w:rPr>
          <w:rFonts w:ascii="Arial" w:eastAsia="Calibri" w:hAnsi="Arial" w:cs="Arial"/>
          <w:sz w:val="20"/>
          <w:szCs w:val="20"/>
        </w:rPr>
        <w:t>, ha véleménye szerint a személyes adatok kezelésével kapcsolatban jogsérelem következett be.</w:t>
      </w:r>
    </w:p>
    <w:p w14:paraId="0AE62535" w14:textId="77777777" w:rsidR="0050247A" w:rsidRPr="00386A15" w:rsidRDefault="0050247A" w:rsidP="0050247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(</w:t>
      </w:r>
      <w:r w:rsidRPr="00386A15">
        <w:rPr>
          <w:rFonts w:ascii="Arial" w:eastAsia="Calibri" w:hAnsi="Arial" w:cs="Arial"/>
          <w:sz w:val="20"/>
          <w:szCs w:val="20"/>
          <w:u w:val="single"/>
        </w:rPr>
        <w:t>Panasz benyújtásának helye</w:t>
      </w:r>
      <w:r w:rsidRPr="00386A15">
        <w:rPr>
          <w:rFonts w:ascii="Arial" w:eastAsia="Calibri" w:hAnsi="Arial" w:cs="Arial"/>
          <w:sz w:val="20"/>
          <w:szCs w:val="20"/>
        </w:rPr>
        <w:t xml:space="preserve">: NAIH, 1125 Budapest, Szilágyi Erzsébet fasor 22/C; +36 1 391-1400; </w:t>
      </w:r>
      <w:hyperlink r:id="rId9" w:history="1">
        <w:r w:rsidRPr="00386A1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www.naih.hu</w:t>
        </w:r>
      </w:hyperlink>
      <w:r w:rsidRPr="00386A15">
        <w:rPr>
          <w:rFonts w:ascii="Arial" w:eastAsia="Calibri" w:hAnsi="Arial" w:cs="Arial"/>
          <w:sz w:val="20"/>
          <w:szCs w:val="20"/>
        </w:rPr>
        <w:t xml:space="preserve">; </w:t>
      </w:r>
      <w:hyperlink r:id="rId10" w:history="1">
        <w:r w:rsidRPr="00386A1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ugyfelszolgalat@naih.hu</w:t>
        </w:r>
      </w:hyperlink>
      <w:r w:rsidRPr="00386A15">
        <w:rPr>
          <w:rFonts w:ascii="Arial" w:eastAsia="Calibri" w:hAnsi="Arial" w:cs="Arial"/>
          <w:sz w:val="20"/>
          <w:szCs w:val="20"/>
        </w:rPr>
        <w:t>)</w:t>
      </w:r>
    </w:p>
    <w:p w14:paraId="3A2E1BF3" w14:textId="77777777" w:rsidR="0050247A" w:rsidRPr="00386A15" w:rsidRDefault="0050247A" w:rsidP="0050247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b/>
          <w:sz w:val="20"/>
          <w:szCs w:val="20"/>
        </w:rPr>
        <w:t>bírósághoz fordulhat</w:t>
      </w:r>
      <w:r w:rsidRPr="00386A15">
        <w:rPr>
          <w:rFonts w:ascii="Arial" w:eastAsia="Calibri" w:hAnsi="Arial" w:cs="Arial"/>
          <w:sz w:val="20"/>
          <w:szCs w:val="20"/>
        </w:rPr>
        <w:t>, ha véleménye szerint az Adatkezelő a személyes adatokat nem a Rendelet szabályainak megfelelően kezelte, és ebből kifolyólag az érintett jogai sérültek.</w:t>
      </w:r>
    </w:p>
    <w:p w14:paraId="15F30DE0" w14:textId="77777777" w:rsidR="0050247A" w:rsidRPr="00386A15" w:rsidRDefault="0050247A" w:rsidP="0050247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(A pert az érintett lakóhelye vagy tartózkodási helye szerint illetékes törvényszék előtt lehet megindítani.)</w:t>
      </w:r>
    </w:p>
    <w:p w14:paraId="286800A0" w14:textId="77777777" w:rsidR="0050247A" w:rsidRPr="00386A15" w:rsidRDefault="0050247A" w:rsidP="0050247A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ha az adatkezelő az adatkezelésre vonatkozó jogszabályok megsértésével kárt okoz, köteles azt megtéríteni (</w:t>
      </w:r>
      <w:r w:rsidRPr="00386A15">
        <w:rPr>
          <w:rFonts w:ascii="Arial" w:eastAsia="Calibri" w:hAnsi="Arial" w:cs="Arial"/>
          <w:b/>
          <w:sz w:val="20"/>
          <w:szCs w:val="20"/>
        </w:rPr>
        <w:t>kártérítéshez való jog</w:t>
      </w:r>
      <w:r w:rsidRPr="00386A15">
        <w:rPr>
          <w:rFonts w:ascii="Arial" w:eastAsia="Calibri" w:hAnsi="Arial" w:cs="Arial"/>
          <w:sz w:val="20"/>
          <w:szCs w:val="20"/>
        </w:rPr>
        <w:t>).</w:t>
      </w:r>
    </w:p>
    <w:p w14:paraId="38ECC115" w14:textId="77777777" w:rsidR="0050247A" w:rsidRPr="00386A15" w:rsidRDefault="0050247A" w:rsidP="0050247A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 xml:space="preserve">amennyiben az érintett személyiségi joga is sérül, </w:t>
      </w:r>
      <w:r w:rsidRPr="00386A15">
        <w:rPr>
          <w:rFonts w:ascii="Arial" w:eastAsia="Calibri" w:hAnsi="Arial" w:cs="Arial"/>
          <w:b/>
          <w:sz w:val="20"/>
          <w:szCs w:val="20"/>
        </w:rPr>
        <w:t>sérelemdíjra jogosult</w:t>
      </w:r>
      <w:r w:rsidRPr="00386A15">
        <w:rPr>
          <w:rFonts w:ascii="Arial" w:eastAsia="Calibri" w:hAnsi="Arial" w:cs="Arial"/>
          <w:sz w:val="20"/>
          <w:szCs w:val="20"/>
        </w:rPr>
        <w:t>.</w:t>
      </w:r>
    </w:p>
    <w:p w14:paraId="6DB81CFD" w14:textId="77777777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3D185C" w14:textId="4F8F94D4" w:rsidR="0050247A" w:rsidRPr="00CB64CC" w:rsidRDefault="0050247A" w:rsidP="00CB64CC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B64CC">
        <w:rPr>
          <w:rFonts w:ascii="Arial" w:eastAsia="Calibri" w:hAnsi="Arial" w:cs="Arial"/>
          <w:b/>
          <w:sz w:val="20"/>
          <w:szCs w:val="20"/>
        </w:rPr>
        <w:t>Egyéb információk</w:t>
      </w:r>
    </w:p>
    <w:p w14:paraId="01DC6468" w14:textId="77777777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F049B3B" w14:textId="77777777" w:rsidR="0050247A" w:rsidRPr="00386A15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Jelen tájékoztatóban nem szabályozott kérdésekben a Rendelet szabályai az irányadók.</w:t>
      </w:r>
    </w:p>
    <w:p w14:paraId="6EC42224" w14:textId="77777777" w:rsidR="0050247A" w:rsidRPr="00CB64CC" w:rsidRDefault="0050247A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5EABA5" w14:textId="746FB333" w:rsidR="0050247A" w:rsidRPr="00386A15" w:rsidRDefault="00386A15" w:rsidP="005024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86A15">
        <w:rPr>
          <w:rFonts w:ascii="Arial" w:eastAsia="Calibri" w:hAnsi="Arial" w:cs="Arial"/>
          <w:sz w:val="20"/>
          <w:szCs w:val="20"/>
        </w:rPr>
        <w:t>Hatályos: 2018. május 25-től</w:t>
      </w:r>
    </w:p>
    <w:p w14:paraId="3BAA7D80" w14:textId="28971184" w:rsidR="0050247A" w:rsidRPr="00CB64CC" w:rsidRDefault="0050247A" w:rsidP="00CB64C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7F15345" w14:textId="47007300" w:rsidR="00033476" w:rsidRPr="00CB64CC" w:rsidRDefault="00033476" w:rsidP="00722952">
      <w:pPr>
        <w:jc w:val="both"/>
        <w:rPr>
          <w:rFonts w:ascii="Arial" w:hAnsi="Arial" w:cs="Arial"/>
          <w:b/>
          <w:sz w:val="20"/>
          <w:szCs w:val="20"/>
        </w:rPr>
      </w:pPr>
    </w:p>
    <w:sectPr w:rsidR="00033476" w:rsidRPr="00CB64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CC31" w14:textId="77777777" w:rsidR="009873EB" w:rsidRDefault="009873EB" w:rsidP="00A90EC8">
      <w:pPr>
        <w:spacing w:after="0" w:line="240" w:lineRule="auto"/>
      </w:pPr>
      <w:r>
        <w:separator/>
      </w:r>
    </w:p>
  </w:endnote>
  <w:endnote w:type="continuationSeparator" w:id="0">
    <w:p w14:paraId="160ABB98" w14:textId="77777777" w:rsidR="009873EB" w:rsidRDefault="009873EB" w:rsidP="00A9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776789"/>
      <w:docPartObj>
        <w:docPartGallery w:val="Page Numbers (Bottom of Page)"/>
        <w:docPartUnique/>
      </w:docPartObj>
    </w:sdtPr>
    <w:sdtEndPr/>
    <w:sdtContent>
      <w:p w14:paraId="0AA260F2" w14:textId="189CC3A5" w:rsidR="004276FA" w:rsidRDefault="004276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4BF29" w14:textId="77777777" w:rsidR="004276FA" w:rsidRDefault="004276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5274" w14:textId="77777777" w:rsidR="009873EB" w:rsidRDefault="009873EB" w:rsidP="00A90EC8">
      <w:pPr>
        <w:spacing w:after="0" w:line="240" w:lineRule="auto"/>
      </w:pPr>
      <w:r>
        <w:separator/>
      </w:r>
    </w:p>
  </w:footnote>
  <w:footnote w:type="continuationSeparator" w:id="0">
    <w:p w14:paraId="0F1C57A8" w14:textId="77777777" w:rsidR="009873EB" w:rsidRDefault="009873EB" w:rsidP="00A9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4F7"/>
    <w:multiLevelType w:val="hybridMultilevel"/>
    <w:tmpl w:val="276805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31DD"/>
    <w:multiLevelType w:val="hybridMultilevel"/>
    <w:tmpl w:val="6038D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8A2"/>
    <w:multiLevelType w:val="hybridMultilevel"/>
    <w:tmpl w:val="FFD63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4F92"/>
    <w:multiLevelType w:val="hybridMultilevel"/>
    <w:tmpl w:val="7CC03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895"/>
    <w:multiLevelType w:val="hybridMultilevel"/>
    <w:tmpl w:val="B106DC7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7C67"/>
    <w:multiLevelType w:val="hybridMultilevel"/>
    <w:tmpl w:val="2440FA28"/>
    <w:lvl w:ilvl="0" w:tplc="EC506D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93C67"/>
    <w:multiLevelType w:val="hybridMultilevel"/>
    <w:tmpl w:val="70C83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D4F8E"/>
    <w:multiLevelType w:val="hybridMultilevel"/>
    <w:tmpl w:val="C178BB9A"/>
    <w:lvl w:ilvl="0" w:tplc="E7F68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044EC"/>
    <w:multiLevelType w:val="hybridMultilevel"/>
    <w:tmpl w:val="8A046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E32A2"/>
    <w:multiLevelType w:val="hybridMultilevel"/>
    <w:tmpl w:val="F8F80236"/>
    <w:lvl w:ilvl="0" w:tplc="AC4A0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553F3"/>
    <w:multiLevelType w:val="hybridMultilevel"/>
    <w:tmpl w:val="6EE24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B434D"/>
    <w:multiLevelType w:val="hybridMultilevel"/>
    <w:tmpl w:val="4D844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0107A"/>
    <w:multiLevelType w:val="hybridMultilevel"/>
    <w:tmpl w:val="882EF1AC"/>
    <w:lvl w:ilvl="0" w:tplc="040E0017">
      <w:start w:val="1"/>
      <w:numFmt w:val="lowerLetter"/>
      <w:lvlText w:val="%1)"/>
      <w:lvlJc w:val="left"/>
      <w:pPr>
        <w:ind w:left="369" w:hanging="360"/>
      </w:pPr>
    </w:lvl>
    <w:lvl w:ilvl="1" w:tplc="040E0019" w:tentative="1">
      <w:start w:val="1"/>
      <w:numFmt w:val="lowerLetter"/>
      <w:lvlText w:val="%2."/>
      <w:lvlJc w:val="left"/>
      <w:pPr>
        <w:ind w:left="1089" w:hanging="360"/>
      </w:pPr>
    </w:lvl>
    <w:lvl w:ilvl="2" w:tplc="040E001B" w:tentative="1">
      <w:start w:val="1"/>
      <w:numFmt w:val="lowerRoman"/>
      <w:lvlText w:val="%3."/>
      <w:lvlJc w:val="right"/>
      <w:pPr>
        <w:ind w:left="1809" w:hanging="180"/>
      </w:pPr>
    </w:lvl>
    <w:lvl w:ilvl="3" w:tplc="040E000F" w:tentative="1">
      <w:start w:val="1"/>
      <w:numFmt w:val="decimal"/>
      <w:lvlText w:val="%4."/>
      <w:lvlJc w:val="left"/>
      <w:pPr>
        <w:ind w:left="2529" w:hanging="360"/>
      </w:pPr>
    </w:lvl>
    <w:lvl w:ilvl="4" w:tplc="040E0019" w:tentative="1">
      <w:start w:val="1"/>
      <w:numFmt w:val="lowerLetter"/>
      <w:lvlText w:val="%5."/>
      <w:lvlJc w:val="left"/>
      <w:pPr>
        <w:ind w:left="3249" w:hanging="360"/>
      </w:pPr>
    </w:lvl>
    <w:lvl w:ilvl="5" w:tplc="040E001B" w:tentative="1">
      <w:start w:val="1"/>
      <w:numFmt w:val="lowerRoman"/>
      <w:lvlText w:val="%6."/>
      <w:lvlJc w:val="right"/>
      <w:pPr>
        <w:ind w:left="3969" w:hanging="180"/>
      </w:pPr>
    </w:lvl>
    <w:lvl w:ilvl="6" w:tplc="040E000F" w:tentative="1">
      <w:start w:val="1"/>
      <w:numFmt w:val="decimal"/>
      <w:lvlText w:val="%7."/>
      <w:lvlJc w:val="left"/>
      <w:pPr>
        <w:ind w:left="4689" w:hanging="360"/>
      </w:pPr>
    </w:lvl>
    <w:lvl w:ilvl="7" w:tplc="040E0019" w:tentative="1">
      <w:start w:val="1"/>
      <w:numFmt w:val="lowerLetter"/>
      <w:lvlText w:val="%8."/>
      <w:lvlJc w:val="left"/>
      <w:pPr>
        <w:ind w:left="5409" w:hanging="360"/>
      </w:pPr>
    </w:lvl>
    <w:lvl w:ilvl="8" w:tplc="040E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 w15:restartNumberingAfterBreak="0">
    <w:nsid w:val="7238178C"/>
    <w:multiLevelType w:val="hybridMultilevel"/>
    <w:tmpl w:val="05B89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76"/>
    <w:rsid w:val="00014358"/>
    <w:rsid w:val="00021C29"/>
    <w:rsid w:val="000311C0"/>
    <w:rsid w:val="00033476"/>
    <w:rsid w:val="0004514B"/>
    <w:rsid w:val="00053FF5"/>
    <w:rsid w:val="00064856"/>
    <w:rsid w:val="0009100D"/>
    <w:rsid w:val="00095DB2"/>
    <w:rsid w:val="000B57BC"/>
    <w:rsid w:val="000E688D"/>
    <w:rsid w:val="0011033A"/>
    <w:rsid w:val="00121D35"/>
    <w:rsid w:val="00126358"/>
    <w:rsid w:val="001478EB"/>
    <w:rsid w:val="001555F7"/>
    <w:rsid w:val="001B2723"/>
    <w:rsid w:val="001B4E3E"/>
    <w:rsid w:val="001E52D6"/>
    <w:rsid w:val="001F1BE5"/>
    <w:rsid w:val="00222776"/>
    <w:rsid w:val="002240C3"/>
    <w:rsid w:val="0024623B"/>
    <w:rsid w:val="002479C1"/>
    <w:rsid w:val="00260136"/>
    <w:rsid w:val="00274418"/>
    <w:rsid w:val="00291DAA"/>
    <w:rsid w:val="0029692A"/>
    <w:rsid w:val="002D3552"/>
    <w:rsid w:val="002F0A16"/>
    <w:rsid w:val="00330215"/>
    <w:rsid w:val="00334886"/>
    <w:rsid w:val="00341276"/>
    <w:rsid w:val="00354FBC"/>
    <w:rsid w:val="00361DC5"/>
    <w:rsid w:val="00366776"/>
    <w:rsid w:val="00383DB8"/>
    <w:rsid w:val="00385C93"/>
    <w:rsid w:val="00386A15"/>
    <w:rsid w:val="00391641"/>
    <w:rsid w:val="003C2C30"/>
    <w:rsid w:val="003C57F5"/>
    <w:rsid w:val="004276FA"/>
    <w:rsid w:val="00433BB4"/>
    <w:rsid w:val="004414AA"/>
    <w:rsid w:val="00447640"/>
    <w:rsid w:val="004811BE"/>
    <w:rsid w:val="00483EC8"/>
    <w:rsid w:val="0048485B"/>
    <w:rsid w:val="004A66A0"/>
    <w:rsid w:val="004C2214"/>
    <w:rsid w:val="004C40F5"/>
    <w:rsid w:val="004C7BA6"/>
    <w:rsid w:val="004F4B2B"/>
    <w:rsid w:val="0050247A"/>
    <w:rsid w:val="005074F7"/>
    <w:rsid w:val="00516210"/>
    <w:rsid w:val="0052515A"/>
    <w:rsid w:val="00557E72"/>
    <w:rsid w:val="00573750"/>
    <w:rsid w:val="0058428E"/>
    <w:rsid w:val="005A1E33"/>
    <w:rsid w:val="005C261C"/>
    <w:rsid w:val="005E6C6D"/>
    <w:rsid w:val="00623EE3"/>
    <w:rsid w:val="00636E54"/>
    <w:rsid w:val="006661CA"/>
    <w:rsid w:val="006750C6"/>
    <w:rsid w:val="006A5133"/>
    <w:rsid w:val="006B6C07"/>
    <w:rsid w:val="006D55E7"/>
    <w:rsid w:val="006E126E"/>
    <w:rsid w:val="006F42AB"/>
    <w:rsid w:val="0071179B"/>
    <w:rsid w:val="00722952"/>
    <w:rsid w:val="007434DE"/>
    <w:rsid w:val="0076070B"/>
    <w:rsid w:val="0076198E"/>
    <w:rsid w:val="00770E69"/>
    <w:rsid w:val="007955B8"/>
    <w:rsid w:val="007A04BE"/>
    <w:rsid w:val="007F09B1"/>
    <w:rsid w:val="007F2D02"/>
    <w:rsid w:val="007F7E76"/>
    <w:rsid w:val="008118C5"/>
    <w:rsid w:val="00816558"/>
    <w:rsid w:val="00816F24"/>
    <w:rsid w:val="00817E4E"/>
    <w:rsid w:val="00820B57"/>
    <w:rsid w:val="0084685D"/>
    <w:rsid w:val="008569B4"/>
    <w:rsid w:val="008863F7"/>
    <w:rsid w:val="00893112"/>
    <w:rsid w:val="00894EBF"/>
    <w:rsid w:val="00896332"/>
    <w:rsid w:val="00896FBA"/>
    <w:rsid w:val="008E7FC5"/>
    <w:rsid w:val="00903110"/>
    <w:rsid w:val="0091316D"/>
    <w:rsid w:val="00920E81"/>
    <w:rsid w:val="00923B37"/>
    <w:rsid w:val="009315F1"/>
    <w:rsid w:val="00972B91"/>
    <w:rsid w:val="009873EB"/>
    <w:rsid w:val="00995227"/>
    <w:rsid w:val="009C06FE"/>
    <w:rsid w:val="009E130D"/>
    <w:rsid w:val="00A160D9"/>
    <w:rsid w:val="00A25639"/>
    <w:rsid w:val="00A33DE7"/>
    <w:rsid w:val="00A62CD5"/>
    <w:rsid w:val="00A64AB8"/>
    <w:rsid w:val="00A67805"/>
    <w:rsid w:val="00A90EC8"/>
    <w:rsid w:val="00A96461"/>
    <w:rsid w:val="00AC4C93"/>
    <w:rsid w:val="00AD3BF0"/>
    <w:rsid w:val="00AD4D1F"/>
    <w:rsid w:val="00B02A7D"/>
    <w:rsid w:val="00B03455"/>
    <w:rsid w:val="00B066C6"/>
    <w:rsid w:val="00B13ED2"/>
    <w:rsid w:val="00B205D4"/>
    <w:rsid w:val="00B2129C"/>
    <w:rsid w:val="00B217AE"/>
    <w:rsid w:val="00B232C5"/>
    <w:rsid w:val="00B36556"/>
    <w:rsid w:val="00B37E32"/>
    <w:rsid w:val="00B43E83"/>
    <w:rsid w:val="00BC09C3"/>
    <w:rsid w:val="00BC1803"/>
    <w:rsid w:val="00BC39E0"/>
    <w:rsid w:val="00BE145E"/>
    <w:rsid w:val="00C23E10"/>
    <w:rsid w:val="00C42710"/>
    <w:rsid w:val="00C92ED1"/>
    <w:rsid w:val="00C94C65"/>
    <w:rsid w:val="00CB3773"/>
    <w:rsid w:val="00CB64CC"/>
    <w:rsid w:val="00CD2E48"/>
    <w:rsid w:val="00D0133A"/>
    <w:rsid w:val="00D06602"/>
    <w:rsid w:val="00D670FC"/>
    <w:rsid w:val="00D72D9B"/>
    <w:rsid w:val="00D87A39"/>
    <w:rsid w:val="00DB51E0"/>
    <w:rsid w:val="00DE1493"/>
    <w:rsid w:val="00DF7D93"/>
    <w:rsid w:val="00E14A22"/>
    <w:rsid w:val="00E14FB2"/>
    <w:rsid w:val="00E61225"/>
    <w:rsid w:val="00E67387"/>
    <w:rsid w:val="00E83EA6"/>
    <w:rsid w:val="00E84FB2"/>
    <w:rsid w:val="00EB5C00"/>
    <w:rsid w:val="00F00393"/>
    <w:rsid w:val="00F01865"/>
    <w:rsid w:val="00F20B25"/>
    <w:rsid w:val="00F351E5"/>
    <w:rsid w:val="00F506CD"/>
    <w:rsid w:val="00F67F6A"/>
    <w:rsid w:val="00FB15A2"/>
    <w:rsid w:val="00FD7C1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ABE7"/>
  <w15:chartTrackingRefBased/>
  <w15:docId w15:val="{91537B42-016D-4005-AB16-712F7CE9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4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57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57BC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A9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EC8"/>
  </w:style>
  <w:style w:type="paragraph" w:styleId="llb">
    <w:name w:val="footer"/>
    <w:basedOn w:val="Norml"/>
    <w:link w:val="llbChar"/>
    <w:uiPriority w:val="99"/>
    <w:unhideWhenUsed/>
    <w:rsid w:val="00A9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EC8"/>
  </w:style>
  <w:style w:type="paragraph" w:styleId="Buborkszveg">
    <w:name w:val="Balloon Text"/>
    <w:basedOn w:val="Norml"/>
    <w:link w:val="BuborkszvegChar"/>
    <w:uiPriority w:val="99"/>
    <w:semiHidden/>
    <w:unhideWhenUsed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EC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863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3F7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3F7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88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88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130D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13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E6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mitisztviselo@budapes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yfelszolgalat@budapes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ih.h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3FF8204-24E6-43D4-B3DA-861F22409154}"/>
</file>

<file path=customXml/itemProps2.xml><?xml version="1.0" encoding="utf-8"?>
<ds:datastoreItem xmlns:ds="http://schemas.openxmlformats.org/officeDocument/2006/customXml" ds:itemID="{1113A6DE-0283-4B50-8A68-7C03F960BC58}"/>
</file>

<file path=customXml/itemProps3.xml><?xml version="1.0" encoding="utf-8"?>
<ds:datastoreItem xmlns:ds="http://schemas.openxmlformats.org/officeDocument/2006/customXml" ds:itemID="{B1FFAE36-3C46-4CF1-AFCB-901E1A96D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9981</Characters>
  <Application>Microsoft Office Word</Application>
  <DocSecurity>0</DocSecurity>
  <Lines>175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számú melléklet</vt:lpstr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számú melléklet</dc:title>
  <dc:subject/>
  <dc:creator>Kormány-Krivács Zita dr.</dc:creator>
  <cp:keywords/>
  <dc:description/>
  <cp:lastModifiedBy>Kertész Péter</cp:lastModifiedBy>
  <cp:revision>2</cp:revision>
  <cp:lastPrinted>2019-10-10T12:50:00Z</cp:lastPrinted>
  <dcterms:created xsi:type="dcterms:W3CDTF">2019-12-04T12:31:00Z</dcterms:created>
  <dcterms:modified xsi:type="dcterms:W3CDTF">2019-12-04T12:31:00Z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iteId">
    <vt:lpwstr>65fbeb8c-2f3b-457b-8ce4-5794eb3efc4c</vt:lpwstr>
  </property>
  <property fmtid="{D5CDD505-2E9C-101B-9397-08002B2CF9AE}" pid="4" name="MSIP_Label_ee5c06e9-5942-4e86-88ee-667ccfefc533_Owner">
    <vt:lpwstr>MolnarKatalin@budapest.hu</vt:lpwstr>
  </property>
  <property fmtid="{D5CDD505-2E9C-101B-9397-08002B2CF9AE}" pid="5" name="MSIP_Label_ee5c06e9-5942-4e86-88ee-667ccfefc533_SetDate">
    <vt:lpwstr>2019-10-10T12:50:23.6064510Z</vt:lpwstr>
  </property>
  <property fmtid="{D5CDD505-2E9C-101B-9397-08002B2CF9AE}" pid="6" name="MSIP_Label_ee5c06e9-5942-4e86-88ee-667ccfefc533_Name">
    <vt:lpwstr>Általános</vt:lpwstr>
  </property>
  <property fmtid="{D5CDD505-2E9C-101B-9397-08002B2CF9AE}" pid="7" name="MSIP_Label_ee5c06e9-5942-4e86-88ee-667ccfefc533_Application">
    <vt:lpwstr>Microsoft Azure Information Protection</vt:lpwstr>
  </property>
  <property fmtid="{D5CDD505-2E9C-101B-9397-08002B2CF9AE}" pid="8" name="MSIP_Label_ee5c06e9-5942-4e86-88ee-667ccfefc533_Extended_MSFT_Method">
    <vt:lpwstr>Automatic</vt:lpwstr>
  </property>
  <property fmtid="{D5CDD505-2E9C-101B-9397-08002B2CF9AE}" pid="9" name="Sensitivity">
    <vt:lpwstr>Általános</vt:lpwstr>
  </property>
  <property fmtid="{D5CDD505-2E9C-101B-9397-08002B2CF9AE}" pid="10" name="ContentTypeId">
    <vt:lpwstr>0x010100E48470125EF21C45BE3032C5E9DCD26E</vt:lpwstr>
  </property>
</Properties>
</file>